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UNITED STATES</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SECURITIES AND EXCHANGE COMMISSION</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pPr>
      <w:r>
        <w:rPr>
          <w:rFonts w:ascii="Times New Roman;serif" w:hAnsi="Times New Roman;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For the transition period from                      to                 </w:t>
      </w:r>
    </w:p>
    <w:p>
      <w:pPr>
        <w:pStyle w:val="TextBody"/>
        <w:bidi w:val="0"/>
        <w:spacing w:lineRule="auto" w:line="288" w:before="60" w:after="283"/>
        <w:jc w:val="center"/>
        <w:rPr/>
      </w:pPr>
      <w:r>
        <w:rPr>
          <w:rFonts w:ascii="Times New Roman;serif" w:hAnsi="Times New Roman;serif"/>
          <w:b/>
          <w:color w:val="000000"/>
          <w:sz w:val="19"/>
        </w:rPr>
        <w:t>Commission File No. 001-34063</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drawing>
          <wp:inline distT="0" distB="0" distL="0" distR="0">
            <wp:extent cx="12668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4381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LendingTree, Inc.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26-2414818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120" w:after="283"/>
        <w:jc w:val="center"/>
        <w:rPr/>
      </w:pPr>
      <w:r>
        <w:rPr>
          <w:color w:val="000000"/>
        </w:rPr>
        <w:t> </w:t>
      </w:r>
      <w:r>
        <w:rPr>
          <w:rFonts w:ascii="Times New Roman;serif" w:hAnsi="Times New Roman;serif"/>
          <w:b/>
          <w:color w:val="000000"/>
          <w:sz w:val="20"/>
        </w:rPr>
        <w:t xml:space="preserve">1415 Vantage Park Dr., Suite 700, Charlotte, North Carolina 28203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(704) 541-5351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9637" w:type="dxa"/>
        <w:jc w:val="center"/>
        <w:tblInd w:w="0" w:type="dxa"/>
        <w:tblLayout w:type="fixed"/>
        <w:tblCellMar>
          <w:top w:w="28" w:type="dxa"/>
          <w:left w:w="28" w:type="dxa"/>
          <w:bottom w:w="28" w:type="dxa"/>
          <w:right w:w="28" w:type="dxa"/>
        </w:tblCellMar>
      </w:tblPr>
      <w:tblGrid>
        <w:gridCol w:w="1325"/>
        <w:gridCol w:w="1160"/>
        <w:gridCol w:w="1174"/>
        <w:gridCol w:w="109"/>
        <w:gridCol w:w="109"/>
        <w:gridCol w:w="109"/>
        <w:gridCol w:w="539"/>
        <w:gridCol w:w="539"/>
        <w:gridCol w:w="541"/>
        <w:gridCol w:w="109"/>
        <w:gridCol w:w="109"/>
        <w:gridCol w:w="109"/>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The Nasdaq Stock Market LLC</w:t>
            </w:r>
          </w:p>
        </w:tc>
      </w:tr>
    </w:tbl>
    <w:p>
      <w:pPr>
        <w:pStyle w:val="TextBody"/>
        <w:bidi w:val="0"/>
        <w:spacing w:lineRule="auto" w:line="288" w:before="100" w:after="283"/>
        <w:ind w:left="0" w:right="0" w:firstLine="180"/>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No  </w:t>
      </w:r>
      <w:r>
        <w:rPr>
          <w:color w:val="000000"/>
        </w:rPr>
        <w:t>☐ </w:t>
      </w:r>
    </w:p>
    <w:p>
      <w:pPr>
        <w:pStyle w:val="TextBody"/>
        <w:bidi w:val="0"/>
        <w:spacing w:lineRule="auto" w:line="288" w:before="100" w:after="283"/>
        <w:ind w:left="0" w:right="0" w:firstLine="180"/>
        <w:jc w:val="both"/>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9"/>
        </w:rPr>
        <w:t>No  </w:t>
      </w:r>
      <w:r>
        <w:rPr>
          <w:color w:val="000000"/>
        </w:rPr>
        <w:t>☐</w:t>
      </w:r>
    </w:p>
    <w:p>
      <w:pPr>
        <w:pStyle w:val="TextBody"/>
        <w:bidi w:val="0"/>
        <w:spacing w:lineRule="auto" w:line="288" w:before="100" w:after="283"/>
        <w:ind w:left="0" w:right="0" w:firstLine="180"/>
        <w:jc w:val="both"/>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erif" w:hAnsi="Times New Roman;serif"/>
          <w:b w:val="false"/>
          <w:color w:val="000000"/>
          <w:sz w:val="19"/>
        </w:rPr>
        <w:t>large accelerated filer,</w:t>
      </w:r>
      <w:r>
        <w:rPr>
          <w:color w:val="000000"/>
        </w:rPr>
        <w:t>” “</w:t>
      </w:r>
      <w:r>
        <w:rPr>
          <w:rFonts w:ascii="Times New Roman;serif" w:hAnsi="Times New Roman;serif"/>
          <w:b w:val="false"/>
          <w:color w:val="000000"/>
          <w:sz w:val="19"/>
        </w:rPr>
        <w:t>accelerated filer,</w:t>
      </w:r>
      <w:r>
        <w:rPr>
          <w:color w:val="000000"/>
        </w:rPr>
        <w:t>” “</w:t>
      </w:r>
      <w:r>
        <w:rPr>
          <w:rFonts w:ascii="Times New Roman;serif" w:hAnsi="Times New Roman;serif"/>
          <w:b w:val="false"/>
          <w:color w:val="000000"/>
          <w:sz w:val="19"/>
        </w:rPr>
        <w:t>smaller reporting company,</w:t>
      </w:r>
      <w:r>
        <w:rPr>
          <w:color w:val="000000"/>
        </w:rPr>
        <w:t xml:space="preserve">” </w:t>
      </w:r>
      <w:r>
        <w:rPr>
          <w:rFonts w:ascii="Times New Roman;serif" w:hAnsi="Times New Roman;serif"/>
          <w:b w:val="false"/>
          <w:color w:val="000000"/>
          <w:sz w:val="19"/>
        </w:rPr>
        <w:t xml:space="preserve">and </w:t>
      </w:r>
      <w:r>
        <w:rPr>
          <w:color w:val="000000"/>
        </w:rPr>
        <w:t>“</w:t>
      </w:r>
      <w:r>
        <w:rPr>
          <w:rFonts w:ascii="Times New Roman;serif" w:hAnsi="Times New Roman;serif"/>
          <w:b w:val="false"/>
          <w:color w:val="000000"/>
          <w:sz w:val="19"/>
        </w:rPr>
        <w:t>emerging growth company</w:t>
      </w:r>
      <w:r>
        <w:rPr>
          <w:color w:val="000000"/>
        </w:rPr>
        <w:t xml:space="preserve">” </w:t>
      </w:r>
      <w:r>
        <w:rPr>
          <w:rFonts w:ascii="Times New Roman;serif" w:hAnsi="Times New Roman;serif"/>
          <w:b w:val="false"/>
          <w:color w:val="000000"/>
          <w:sz w:val="19"/>
        </w:rPr>
        <w:t>in Rule 12b-2 of the Exchange Act.</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180"/>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ind w:left="0" w:right="0" w:firstLine="180"/>
        <w:jc w:val="both"/>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9"/>
        </w:rPr>
        <w:t>No  </w:t>
      </w:r>
      <w:r>
        <w:rPr>
          <w:color w:val="000000"/>
        </w:rPr>
        <w:t>☒ </w:t>
      </w:r>
    </w:p>
    <w:p>
      <w:pPr>
        <w:pStyle w:val="TextBody"/>
        <w:bidi w:val="0"/>
        <w:spacing w:lineRule="auto" w:line="288" w:before="100" w:after="283"/>
        <w:ind w:left="0" w:right="0" w:firstLine="180"/>
        <w:jc w:val="both"/>
        <w:rPr>
          <w:rFonts w:ascii="Times New Roman;serif" w:hAnsi="Times New Roman;serif"/>
          <w:b w:val="false"/>
          <w:color w:val="000000"/>
          <w:sz w:val="19"/>
        </w:rPr>
      </w:pPr>
      <w:r>
        <w:rPr>
          <w:rFonts w:ascii="Times New Roman;serif" w:hAnsi="Times New Roman;serif"/>
          <w:b w:val="false"/>
          <w:color w:val="000000"/>
          <w:sz w:val="19"/>
        </w:rPr>
        <w:t>As of July 27, 2026, there were 14,039,561 shares of the registrant's common stock, par value $0.01 per share, outstanding, excluding treasury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2"/>
        <w:gridCol w:w="274"/>
        <w:gridCol w:w="273"/>
        <w:gridCol w:w="2492"/>
        <w:gridCol w:w="2491"/>
        <w:gridCol w:w="2498"/>
        <w:gridCol w:w="541"/>
        <w:gridCol w:w="541"/>
        <w:gridCol w:w="783"/>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23fc995a2b51463cbb5e79f44da9e593_10">
              <w:r>
                <w:rPr>
                  <w:rStyle w:val="InternetLink"/>
                  <w:rFonts w:ascii="Times New Roman;serif" w:hAnsi="Times New Roman;serif"/>
                  <w:b/>
                  <w:color w:val="0000FF"/>
                  <w:sz w:val="20"/>
                  <w:u w:val="single"/>
                </w:rPr>
                <w:t>PART I—FINANCIAL INFORMATION</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
              <w:r>
                <w:rPr>
                  <w:rStyle w:val="InternetLink"/>
                  <w:rFonts w:ascii="Times New Roman;serif" w:hAnsi="Times New Roman;serif"/>
                  <w:b/>
                  <w:color w:val="0000FF"/>
                  <w:sz w:val="20"/>
                  <w:u w:val="single"/>
                </w:rPr>
                <w:t>Item 1.</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
              <w:r>
                <w:rPr>
                  <w:rStyle w:val="InternetLink"/>
                  <w:rFonts w:ascii="Times New Roman;serif" w:hAnsi="Times New Roman;serif"/>
                  <w:b/>
                  <w:i/>
                  <w:color w:val="0000FF"/>
                  <w:sz w:val="20"/>
                  <w:u w:val="single"/>
                </w:rPr>
                <w:t>Financial Statements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c995a2b51463cbb5e79f44da9e593_13">
              <w:r>
                <w:rPr>
                  <w:rStyle w:val="InternetLink"/>
                  <w:rFonts w:ascii="Times New Roman;serif" w:hAnsi="Times New Roman;serif"/>
                  <w:b w:val="false"/>
                  <w:strike w:val="false"/>
                  <w:dstrike w:val="false"/>
                  <w:color w:val="000000"/>
                  <w:sz w:val="20"/>
                  <w:u w:val="none"/>
                  <w:effect w:val="none"/>
                </w:rPr>
                <w:t>3</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00">
              <w:r>
                <w:rPr>
                  <w:rStyle w:val="InternetLink"/>
                  <w:rFonts w:ascii="Times New Roman;serif" w:hAnsi="Times New Roman;serif"/>
                  <w:b/>
                  <w:color w:val="0000FF"/>
                  <w:sz w:val="20"/>
                  <w:u w:val="single"/>
                </w:rPr>
                <w:t>Item 2.</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00">
              <w:r>
                <w:rPr>
                  <w:rStyle w:val="InternetLink"/>
                  <w:rFonts w:ascii="Times New Roman;serif" w:hAnsi="Times New Roman;serif"/>
                  <w:b/>
                  <w:i/>
                  <w:color w:val="0000FF"/>
                  <w:sz w:val="20"/>
                  <w:u w:val="single"/>
                </w:rPr>
                <w:t>Management's Discussion and Analysis of Financial Condition and Results of Operations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c995a2b51463cbb5e79f44da9e593_100">
              <w:r>
                <w:rPr>
                  <w:rStyle w:val="InternetLink"/>
                  <w:rFonts w:ascii="Times New Roman;serif" w:hAnsi="Times New Roman;serif"/>
                  <w:b w:val="false"/>
                  <w:strike w:val="false"/>
                  <w:dstrike w:val="false"/>
                  <w:color w:val="000000"/>
                  <w:sz w:val="20"/>
                  <w:u w:val="none"/>
                  <w:effect w:val="none"/>
                </w:rPr>
                <w:t>20</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18">
              <w:r>
                <w:rPr>
                  <w:rStyle w:val="InternetLink"/>
                  <w:rFonts w:ascii="Times New Roman;serif" w:hAnsi="Times New Roman;serif"/>
                  <w:b/>
                  <w:color w:val="0000FF"/>
                  <w:sz w:val="20"/>
                  <w:u w:val="single"/>
                </w:rPr>
                <w:t>Item 3.</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18">
              <w:r>
                <w:rPr>
                  <w:rStyle w:val="InternetLink"/>
                  <w:rFonts w:ascii="Times New Roman;serif" w:hAnsi="Times New Roman;serif"/>
                  <w:b/>
                  <w:i/>
                  <w:color w:val="0000FF"/>
                  <w:sz w:val="20"/>
                  <w:u w:val="single"/>
                </w:rPr>
                <w:t>Quantitative and Qualitative Disclosures About Market Risk</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c995a2b51463cbb5e79f44da9e593_118">
              <w:r>
                <w:rPr>
                  <w:rStyle w:val="InternetLink"/>
                  <w:rFonts w:ascii="Times New Roman;serif" w:hAnsi="Times New Roman;serif"/>
                  <w:b w:val="false"/>
                  <w:strike w:val="false"/>
                  <w:dstrike w:val="false"/>
                  <w:color w:val="000000"/>
                  <w:sz w:val="20"/>
                  <w:u w:val="none"/>
                  <w:effect w:val="none"/>
                </w:rPr>
                <w:t>32</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21">
              <w:r>
                <w:rPr>
                  <w:rStyle w:val="InternetLink"/>
                  <w:rFonts w:ascii="Times New Roman;serif" w:hAnsi="Times New Roman;serif"/>
                  <w:b/>
                  <w:color w:val="0000FF"/>
                  <w:sz w:val="20"/>
                  <w:u w:val="single"/>
                </w:rPr>
                <w:t>Item 4.</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21">
              <w:r>
                <w:rPr>
                  <w:rStyle w:val="InternetLink"/>
                  <w:rFonts w:ascii="Times New Roman;serif" w:hAnsi="Times New Roman;serif"/>
                  <w:b/>
                  <w:i/>
                  <w:color w:val="0000FF"/>
                  <w:sz w:val="20"/>
                  <w:u w:val="single"/>
                </w:rPr>
                <w:t>Controls and Procedures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c995a2b51463cbb5e79f44da9e593_121">
              <w:r>
                <w:rPr>
                  <w:rStyle w:val="InternetLink"/>
                  <w:rFonts w:ascii="Times New Roman;serif" w:hAnsi="Times New Roman;serif"/>
                  <w:b w:val="false"/>
                  <w:strike w:val="false"/>
                  <w:dstrike w:val="false"/>
                  <w:color w:val="000000"/>
                  <w:sz w:val="20"/>
                  <w:u w:val="none"/>
                  <w:effect w:val="none"/>
                </w:rPr>
                <w:t>33</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23fc995a2b51463cbb5e79f44da9e593_124">
              <w:r>
                <w:rPr>
                  <w:rStyle w:val="InternetLink"/>
                  <w:rFonts w:ascii="Times New Roman;serif" w:hAnsi="Times New Roman;serif"/>
                  <w:b/>
                  <w:color w:val="0000FF"/>
                  <w:sz w:val="20"/>
                  <w:u w:val="single"/>
                </w:rPr>
                <w:t>PART II—OTHER INFORMATION</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27">
              <w:r>
                <w:rPr>
                  <w:rStyle w:val="InternetLink"/>
                  <w:rFonts w:ascii="Times New Roman;serif" w:hAnsi="Times New Roman;serif"/>
                  <w:b/>
                  <w:color w:val="0000FF"/>
                  <w:sz w:val="20"/>
                  <w:u w:val="single"/>
                </w:rPr>
                <w:t>Item 1.</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27">
              <w:r>
                <w:rPr>
                  <w:rStyle w:val="InternetLink"/>
                  <w:rFonts w:ascii="Times New Roman;serif" w:hAnsi="Times New Roman;serif"/>
                  <w:b/>
                  <w:i/>
                  <w:color w:val="0000FF"/>
                  <w:sz w:val="20"/>
                  <w:u w:val="single"/>
                </w:rPr>
                <w:t>Legal Proceedings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c995a2b51463cbb5e79f44da9e593_127">
              <w:r>
                <w:rPr>
                  <w:rStyle w:val="InternetLink"/>
                  <w:rFonts w:ascii="Times New Roman;serif" w:hAnsi="Times New Roman;serif"/>
                  <w:b w:val="false"/>
                  <w:strike w:val="false"/>
                  <w:dstrike w:val="false"/>
                  <w:color w:val="000000"/>
                  <w:sz w:val="20"/>
                  <w:u w:val="none"/>
                  <w:effect w:val="none"/>
                </w:rPr>
                <w:t>34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0">
              <w:r>
                <w:rPr>
                  <w:rStyle w:val="InternetLink"/>
                  <w:rFonts w:ascii="Times New Roman;serif" w:hAnsi="Times New Roman;serif"/>
                  <w:b/>
                  <w:color w:val="0000FF"/>
                  <w:sz w:val="20"/>
                  <w:u w:val="single"/>
                </w:rPr>
                <w:t>Item 1A.</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0">
              <w:r>
                <w:rPr>
                  <w:rStyle w:val="InternetLink"/>
                  <w:rFonts w:ascii="Times New Roman;serif" w:hAnsi="Times New Roman;serif"/>
                  <w:b/>
                  <w:i/>
                  <w:color w:val="0000FF"/>
                  <w:sz w:val="20"/>
                  <w:u w:val="single"/>
                </w:rPr>
                <w:t>Risk Factors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c995a2b51463cbb5e79f44da9e593_130">
              <w:r>
                <w:rPr>
                  <w:rStyle w:val="InternetLink"/>
                  <w:rFonts w:ascii="Times New Roman;serif" w:hAnsi="Times New Roman;serif"/>
                  <w:b w:val="false"/>
                  <w:strike w:val="false"/>
                  <w:dstrike w:val="false"/>
                  <w:color w:val="000000"/>
                  <w:sz w:val="20"/>
                  <w:u w:val="none"/>
                  <w:effect w:val="none"/>
                </w:rPr>
                <w:t>34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3">
              <w:r>
                <w:rPr>
                  <w:rStyle w:val="InternetLink"/>
                  <w:rFonts w:ascii="Times New Roman;serif" w:hAnsi="Times New Roman;serif"/>
                  <w:b/>
                  <w:color w:val="0000FF"/>
                  <w:sz w:val="20"/>
                  <w:u w:val="single"/>
                </w:rPr>
                <w:t>Item 2.</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3">
              <w:r>
                <w:rPr>
                  <w:rStyle w:val="InternetLink"/>
                  <w:rFonts w:ascii="Times New Roman;serif" w:hAnsi="Times New Roman;serif"/>
                  <w:b/>
                  <w:i/>
                  <w:color w:val="0000FF"/>
                  <w:sz w:val="20"/>
                  <w:u w:val="single"/>
                </w:rPr>
                <w:t>Unregistered Sales of Equity Securities and Use of Proceeds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c995a2b51463cbb5e79f44da9e593_133">
              <w:r>
                <w:rPr>
                  <w:rStyle w:val="InternetLink"/>
                  <w:rFonts w:ascii="Times New Roman;serif" w:hAnsi="Times New Roman;serif"/>
                  <w:b w:val="false"/>
                  <w:strike w:val="false"/>
                  <w:dstrike w:val="false"/>
                  <w:color w:val="000000"/>
                  <w:sz w:val="20"/>
                  <w:u w:val="none"/>
                  <w:effect w:val="none"/>
                </w:rPr>
                <w:t>34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6">
              <w:r>
                <w:rPr>
                  <w:rStyle w:val="InternetLink"/>
                  <w:rFonts w:ascii="Times New Roman;serif" w:hAnsi="Times New Roman;serif"/>
                  <w:b/>
                  <w:color w:val="0000FF"/>
                  <w:sz w:val="20"/>
                  <w:u w:val="single"/>
                </w:rPr>
                <w:t>Item 5.</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6">
              <w:r>
                <w:rPr>
                  <w:rStyle w:val="InternetLink"/>
                  <w:rFonts w:ascii="Times New Roman;serif" w:hAnsi="Times New Roman;serif"/>
                  <w:b/>
                  <w:i/>
                  <w:color w:val="0000FF"/>
                  <w:sz w:val="20"/>
                  <w:u w:val="single"/>
                </w:rPr>
                <w:t>Other Information</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c995a2b51463cbb5e79f44da9e593_136">
              <w:r>
                <w:rPr>
                  <w:rStyle w:val="InternetLink"/>
                  <w:rFonts w:ascii="Times New Roman;serif" w:hAnsi="Times New Roman;serif"/>
                  <w:b w:val="false"/>
                  <w:strike w:val="false"/>
                  <w:dstrike w:val="false"/>
                  <w:color w:val="000000"/>
                  <w:sz w:val="20"/>
                  <w:u w:val="none"/>
                  <w:effect w:val="none"/>
                </w:rPr>
                <w:t>35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9">
              <w:r>
                <w:rPr>
                  <w:rStyle w:val="InternetLink"/>
                  <w:rFonts w:ascii="Times New Roman;serif" w:hAnsi="Times New Roman;serif"/>
                  <w:b/>
                  <w:color w:val="0000FF"/>
                  <w:sz w:val="20"/>
                  <w:u w:val="single"/>
                </w:rPr>
                <w:t>Item 6.</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fc995a2b51463cbb5e79f44da9e593_139">
              <w:r>
                <w:rPr>
                  <w:rStyle w:val="InternetLink"/>
                  <w:rFonts w:ascii="Times New Roman;serif" w:hAnsi="Times New Roman;serif"/>
                  <w:b/>
                  <w:i/>
                  <w:color w:val="0000FF"/>
                  <w:sz w:val="20"/>
                  <w:u w:val="single"/>
                </w:rPr>
                <w:t>Exhibits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fc995a2b51463cbb5e79f44da9e593_139">
              <w:r>
                <w:rPr>
                  <w:rStyle w:val="InternetLink"/>
                  <w:rFonts w:ascii="Times New Roman;serif" w:hAnsi="Times New Roman;serif"/>
                  <w:b w:val="false"/>
                  <w:strike w:val="false"/>
                  <w:dstrike w:val="false"/>
                  <w:color w:val="000000"/>
                  <w:sz w:val="20"/>
                  <w:u w:val="none"/>
                  <w:effect w:val="none"/>
                </w:rPr>
                <w:t>36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left"/>
        <w:rPr/>
      </w:pPr>
      <w:r>
        <w:rPr/>
      </w:r>
    </w:p>
    <w:p>
      <w:pPr>
        <w:pStyle w:val="TextBody"/>
        <w:bidi w:val="0"/>
        <w:spacing w:lineRule="auto" w:line="288" w:before="30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pPr>
      <w:r>
        <w:rPr>
          <w:color w:val="000000"/>
        </w:rPr>
        <w:t> </w:t>
      </w:r>
      <w:r>
        <w:rPr>
          <w:rFonts w:ascii="Times New Roman;serif" w:hAnsi="Times New Roman;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832"/>
        <w:gridCol w:w="2113"/>
        <w:gridCol w:w="2131"/>
        <w:gridCol w:w="245"/>
        <w:gridCol w:w="976"/>
        <w:gridCol w:w="126"/>
        <w:gridCol w:w="126"/>
        <w:gridCol w:w="126"/>
        <w:gridCol w:w="126"/>
        <w:gridCol w:w="245"/>
        <w:gridCol w:w="976"/>
        <w:gridCol w:w="183"/>
      </w:tblGrid>
      <w:tr>
        <w:trPr/>
        <w:tc>
          <w:tcPr>
            <w:tcW w:w="2832"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par value and share amounts)</w:t>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$1,235 and $1,322, respectively)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299,804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229,708</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$30,703 and $28,387, respectively)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911,631</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855,692</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162,369</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137,464</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590,859</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568,895</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 shares authorized; none issued or outstanding</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50,000,000 shares authorized; 17,389,706 and 17,124,837 shares issued, respectively, and 14,034,240 and 13,769,371 shares outstanding, respectively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(728,099)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3,355,466 and 3,355,466 shares, respectively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320,772</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286,797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911,631</w:t>
            </w:r>
            <w:r>
              <w:rPr>
                <w:color w:val="000000"/>
              </w:rPr>
              <w:t>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855,692</w:t>
            </w:r>
            <w:r>
              <w:rPr>
                <w:color w:val="000000"/>
              </w:rPr>
              <w:t> </w:t>
            </w:r>
          </w:p>
        </w:tc>
        <w:tc>
          <w:tcPr>
            <w:tcW w:w="1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91"/>
        <w:gridCol w:w="1363"/>
        <w:gridCol w:w="1380"/>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179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per share amounts)</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640,689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489,844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i/>
                <w:color w:val="000000"/>
                <w:sz w:val="20"/>
              </w:rPr>
              <w:t>(exclusive of depreciation and amortization shown separately below)</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291,624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587,777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476,029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and 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91"/>
        <w:gridCol w:w="324"/>
        <w:gridCol w:w="325"/>
        <w:gridCol w:w="196"/>
        <w:gridCol w:w="751"/>
        <w:gridCol w:w="109"/>
        <w:gridCol w:w="109"/>
        <w:gridCol w:w="109"/>
        <w:gridCol w:w="109"/>
        <w:gridCol w:w="330"/>
        <w:gridCol w:w="331"/>
        <w:gridCol w:w="261"/>
        <w:gridCol w:w="109"/>
        <w:gridCol w:w="109"/>
        <w:gridCol w:w="109"/>
        <w:gridCol w:w="196"/>
        <w:gridCol w:w="436"/>
        <w:gridCol w:w="109"/>
        <w:gridCol w:w="109"/>
        <w:gridCol w:w="109"/>
        <w:gridCol w:w="109"/>
        <w:gridCol w:w="196"/>
        <w:gridCol w:w="886"/>
        <w:gridCol w:w="109"/>
        <w:gridCol w:w="109"/>
        <w:gridCol w:w="109"/>
        <w:gridCol w:w="109"/>
        <w:gridCol w:w="196"/>
        <w:gridCol w:w="752"/>
        <w:gridCol w:w="109"/>
        <w:gridCol w:w="109"/>
        <w:gridCol w:w="109"/>
        <w:gridCol w:w="109"/>
        <w:gridCol w:w="285"/>
        <w:gridCol w:w="286"/>
        <w:gridCol w:w="261"/>
        <w:gridCol w:w="109"/>
        <w:gridCol w:w="109"/>
        <w:gridCol w:w="109"/>
        <w:gridCol w:w="196"/>
        <w:gridCol w:w="752"/>
        <w:gridCol w:w="156"/>
      </w:tblGrid>
      <w:tr>
        <w:trPr/>
        <w:tc>
          <w:tcPr>
            <w:tcW w:w="69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(in thousands)</w:t>
            </w:r>
          </w:p>
        </w:tc>
      </w:tr>
      <w:tr>
        <w:trPr/>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286,797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17,125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1,280,903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(728,099)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3,355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and comprehensive income</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17,266 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17,266 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stock options,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March 31,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304,734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17,308</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1,281,572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(710,833)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3,355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and comprehensive income</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9,574 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9,574 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stock options, employee stock purchase plan,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June 30, 2026</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320,772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17,390</w:t>
            </w:r>
            <w:r>
              <w:rPr>
                <w:color w:val="000000"/>
              </w:rPr>
              <w:t> </w:t>
            </w:r>
          </w:p>
        </w:tc>
        <w:tc>
          <w:tcPr>
            <w:tcW w:w="2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1,288,035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(701,259)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3,355</w:t>
            </w:r>
            <w:r>
              <w:rPr>
                <w:color w:val="000000"/>
              </w:rPr>
              <w:t> </w:t>
            </w:r>
          </w:p>
        </w:tc>
        <w:tc>
          <w:tcPr>
            <w:tcW w:w="2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90"/>
        <w:gridCol w:w="324"/>
        <w:gridCol w:w="325"/>
        <w:gridCol w:w="196"/>
        <w:gridCol w:w="751"/>
        <w:gridCol w:w="109"/>
        <w:gridCol w:w="109"/>
        <w:gridCol w:w="109"/>
        <w:gridCol w:w="109"/>
        <w:gridCol w:w="330"/>
        <w:gridCol w:w="331"/>
        <w:gridCol w:w="261"/>
        <w:gridCol w:w="109"/>
        <w:gridCol w:w="109"/>
        <w:gridCol w:w="109"/>
        <w:gridCol w:w="196"/>
        <w:gridCol w:w="436"/>
        <w:gridCol w:w="109"/>
        <w:gridCol w:w="109"/>
        <w:gridCol w:w="109"/>
        <w:gridCol w:w="109"/>
        <w:gridCol w:w="196"/>
        <w:gridCol w:w="886"/>
        <w:gridCol w:w="109"/>
        <w:gridCol w:w="109"/>
        <w:gridCol w:w="109"/>
        <w:gridCol w:w="109"/>
        <w:gridCol w:w="196"/>
        <w:gridCol w:w="752"/>
        <w:gridCol w:w="109"/>
        <w:gridCol w:w="109"/>
        <w:gridCol w:w="109"/>
        <w:gridCol w:w="109"/>
        <w:gridCol w:w="285"/>
        <w:gridCol w:w="286"/>
        <w:gridCol w:w="261"/>
        <w:gridCol w:w="109"/>
        <w:gridCol w:w="109"/>
        <w:gridCol w:w="109"/>
        <w:gridCol w:w="196"/>
        <w:gridCol w:w="752"/>
        <w:gridCol w:w="157"/>
      </w:tblGrid>
      <w:tr>
        <w:trPr/>
        <w:tc>
          <w:tcPr>
            <w:tcW w:w="69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6"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(in thousands)</w:t>
            </w:r>
          </w:p>
        </w:tc>
      </w:tr>
      <w:tr>
        <w:trPr/>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108,821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16,747</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1,254,239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(879,407)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3,355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and comprehensive loss</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(12,375)</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(12,375)</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stock options,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March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103,743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16,889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1,261,534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(891,782)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3,355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and comprehensive income</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stock options,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June 30, 2025</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118,112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16,967</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1,267,040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(882,920)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3,355</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(266,178)</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pPr>
      <w:r>
        <w:rPr>
          <w:color w:val="000000"/>
        </w:rPr>
        <w:t> </w:t>
      </w:r>
      <w:r>
        <w:rPr>
          <w:rFonts w:ascii="Times New Roman;serif" w:hAnsi="Times New Roman;serif"/>
          <w:b/>
          <w:color w:val="000000"/>
          <w:sz w:val="20"/>
        </w:rPr>
        <w:t>CONSOLIDATED STATEMENTS OF CASH FLOWS</w:t>
      </w:r>
    </w:p>
    <w:p>
      <w:pPr>
        <w:pStyle w:val="TextBody"/>
        <w:bidi w:val="0"/>
        <w:spacing w:lineRule="auto" w:line="288" w:before="0" w:after="0"/>
        <w:jc w:val="center"/>
        <w:rPr/>
      </w:pPr>
      <w:r>
        <w:rPr>
          <w:color w:val="000000"/>
        </w:rPr>
        <w:t> </w:t>
      </w: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75"/>
        <w:gridCol w:w="2330"/>
        <w:gridCol w:w="2337"/>
        <w:gridCol w:w="211"/>
        <w:gridCol w:w="841"/>
        <w:gridCol w:w="109"/>
        <w:gridCol w:w="109"/>
        <w:gridCol w:w="109"/>
        <w:gridCol w:w="109"/>
        <w:gridCol w:w="211"/>
        <w:gridCol w:w="841"/>
        <w:gridCol w:w="223"/>
      </w:tblGrid>
      <w:tr>
        <w:trPr/>
        <w:tc>
          <w:tcPr>
            <w:tcW w:w="277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(loss) and comprehensive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26,840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(3,513)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(loss)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impairments and disposal of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15,089 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Bad debt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discount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Reduction in carrying amount of ROU asset, offset by change in 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settlement of convertible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(28,580)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and 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accrued expenses and other 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38,944 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(2,757)</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27,743</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(6,158)</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term loan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related to net-share settlement of stock-based compensation, net of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term loan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Repurchase of 0.50% Convertible Senior Notes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(19,700)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debt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provided by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20,952</w:t>
            </w: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increase in cash, cash equivalents, restricted cash and restricted cash equivalents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29,693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42,537</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restricted cash and restricted cash equivalents at beginning of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106,594 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restricted cash and restricted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110,766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149,131</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1—ORGANIZATION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LendingTree, Inc. is the parent of LT Intermediate Company, LLC, which holds all of the outstanding ownership interests of LendingTree, LLC and its subsidiaries (collectively, “LendingTree” or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insurance carriers, lenders and other providers seeking an efficient, scalable, and flexible source of customer acquisition with directly measurable benefits, by matching the consumer inquiries it generates with these providers.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LendingTree and all its wholly-owned entities. Intercompany transactions and accounts have been eliminated.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as of June 30, 2026 and for the three and six months ended June 30, 2026 and 2025,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2026 are not necessarily indicative of the results to be expected for the year ending December 31, 2026, or any other period. The accompanying consolidated balance sheet as of December 31, 2025 was derived from audited financial statements included in the Company's Annual Report on Form 10-K for the year ended December 31, 2025 (the “2025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2025 Annual Report.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2—SIGNIFICANT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Accounting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estimates underlying the accompanying consolidated financial statements include: the recoverability of long-lived assets, goodwill and intangible assets; the determination of income taxes payable and deferred income taxes, including related valuation allowances; litigation accruals; contract assets; various other allowances, reserves and accruals; assumptions related to the determination of stock-based compensation; and the determination of right-of-use assets and lease liabilities.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considered the impact of the current economic conditions, including interest rates and inflation on the assumptions and estimates used when preparing its consolidated financial statements including, but not limited to, the allowance for doubtful accounts, valuation allowances, contract assets, and the recoverability of long-lived assets, goodwill and intangible assets. These assumptions and estimates may change as new events occur and additional information is obtained.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economic conditions worsen, such future changes may have an adverse impact on the Company's results of operations, financial position and liquidity.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Certain Risks and Concentrations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LendingTree's business is subject to certain risks and concentrations including dependence on third-party technology providers, exposure to risks associated with online commerce security and fraud.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concentration of credit risk at June 30, 2026,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the nature of the mortgage lending industry, interest rate fluctuations may negatively impact future revenue from the Company's marketplace.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than a support services office in India, the Company's operations are geographically limited to and dependent upon the economic condition of the United States.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Accounting Standard Update ("ASU") 2025-05 which provides a practical expedient permitting an entity to assume that conditions at the balance sheet date do not change for the remaining life of the asset when estimating expected credit losses for current classified accounts receivable and contract assets. This ASU is effective for annual reporting periods beginning after December 15, 2025, including interim periods within those fiscal years. The Company adopted this ASU on January 1, 2026, on a prospective basis and elected the practical expedient. The adoption of this standard did not have a material impact on the Company's consolidated financial statements.</w:t>
      </w:r>
    </w:p>
    <w:p>
      <w:pPr>
        <w:pStyle w:val="TextBody"/>
        <w:bidi w:val="0"/>
        <w:spacing w:lineRule="auto" w:line="288" w:before="240" w:after="283"/>
        <w:jc w:val="both"/>
        <w:rPr/>
      </w:pPr>
      <w:r>
        <w:rPr>
          <w:rFonts w:ascii="Times New Roman;serif" w:hAnsi="Times New Roman;serif"/>
          <w:b/>
          <w:color w:val="000000"/>
          <w:sz w:val="20"/>
        </w:rPr>
        <w:t>Recently Issued Accounting Pronouncements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which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Early adoption is permitted, including adoption in interim periods. The Company is currently evaluating the impact this ASU will have on its consolidated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for targeted improvements to the accounting for internal-use software. The amendments modernize guidance to consider different methods of software development, updating the requirements for capitalization of software costs. This ASU is effective for annual reporting periods beginning after December 15, 2027, with early adoption permitted. The Company is currently evaluating the impact this ASU will have on its consolidated financial statements.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2025-11 which clarifies interim disclosure requirements in order to improve the consistency, clarity and navigability of interim financial statements. This ASU is effective for interim reporting periods within annual reporting periods beginning after December 15, 2027. Early adoption is permitted. The guidance in this ASU can be applied either on a prospective or a retrospective basis. The Company is currently evaluating the impact this ASU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3—REVENUE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Consumer products is generated by match and other upfront fees for clicks or call transfers, as well as from closing fees and approval fees. Closing fees are derived from lenders on certain auto loans, business loans, and personal loans when the lender funds a loan with the consumer. Approval fees are derived from credit card issuers when the credit card consumer receives card approval from the credit card issuer.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The closing fee on an original loan and approval is estimated using the Company's historical closing rates and historical time between when a consumer request for a loan or credit card is delivered to the lender or card issuer and when the loan is closed by the lender or approved by the card issuer. The closing fee on a renewal loan is estimated using historical renewal and commission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total contract asset related to estimated variable consideration was $41.0 million and $33.5 million at June 30, 2026 and December 31, 2025, respectively, of which $26.5 million and $22.5 million, respectively, is included in prepaid and other current assets on the consolidated balance sheet. The non-current contract asset is included in other non-current assets on the consolidated balance sheet.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 Company recognized a decrease for closing and approval fees of $0.1 million in the second quarter of 2026, and there was an increase of $0.3 million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4—ALLOWANCE FOR DOUBTFUL ACCOUNTS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are stated at amounts due from customers, net of an allowance for doubtful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pPr>
      <w:r>
        <w:rPr>
          <w:rFonts w:ascii="Times New Roman;serif" w:hAnsi="Times New Roman;serif"/>
          <w:b w:val="false"/>
          <w:color w:val="000000"/>
          <w:sz w:val="20"/>
        </w:rPr>
        <w:t xml:space="preserve">A reconciliation of the beginning and ending balances of the allowance for doubtful accounts is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670" w:type="dxa"/>
        <w:jc w:val="left"/>
        <w:tblInd w:w="0" w:type="dxa"/>
        <w:tblLayout w:type="fixed"/>
        <w:tblCellMar>
          <w:top w:w="28" w:type="dxa"/>
          <w:left w:w="28" w:type="dxa"/>
          <w:bottom w:w="28" w:type="dxa"/>
          <w:right w:w="28" w:type="dxa"/>
        </w:tblCellMar>
      </w:tblPr>
      <w:tblGrid>
        <w:gridCol w:w="1391"/>
        <w:gridCol w:w="1220"/>
        <w:gridCol w:w="122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uncollectible 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the period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both"/>
        <w:rPr/>
      </w:pPr>
      <w:r>
        <w:rPr/>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5—GOODWILL AND INTANGIBLE ASSETS</w:t>
      </w:r>
    </w:p>
    <w:p>
      <w:pPr>
        <w:pStyle w:val="TextBody"/>
        <w:bidi w:val="0"/>
        <w:spacing w:lineRule="auto" w:line="288" w:before="180" w:after="283"/>
        <w:jc w:val="both"/>
        <w:rPr/>
      </w:pPr>
      <w:r>
        <w:rPr>
          <w:rFonts w:ascii="Times New Roman;serif" w:hAnsi="Times New Roman;serif"/>
          <w:b w:val="false"/>
          <w:color w:val="000000"/>
          <w:sz w:val="20"/>
        </w:rPr>
        <w:t xml:space="preserve">The balance of goodwill, net and intangible assets, net is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023" w:type="dxa"/>
        <w:jc w:val="left"/>
        <w:tblInd w:w="0" w:type="dxa"/>
        <w:tblLayout w:type="fixed"/>
        <w:tblCellMar>
          <w:top w:w="28" w:type="dxa"/>
          <w:left w:w="28" w:type="dxa"/>
          <w:bottom w:w="28" w:type="dxa"/>
          <w:right w:w="28" w:type="dxa"/>
        </w:tblCellMar>
      </w:tblPr>
      <w:tblGrid>
        <w:gridCol w:w="1206"/>
        <w:gridCol w:w="1059"/>
        <w:gridCol w:w="1064"/>
        <w:gridCol w:w="211"/>
        <w:gridCol w:w="841"/>
        <w:gridCol w:w="109"/>
        <w:gridCol w:w="109"/>
        <w:gridCol w:w="109"/>
        <w:gridCol w:w="109"/>
        <w:gridCol w:w="211"/>
        <w:gridCol w:w="84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381,539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with indefinite lives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with definite lives,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net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35,516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38,092</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Goodwill and Indefinite-Lived Intangible Assets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goodwill at each of June 30, 2026 and December 31, 2025 consisted of $59.3 million associated with the Home segment, $166.1 million associated with the Consumer segment, and $156.1 million associated with the Insurance segment.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monitors each of the reporting units and the impact of business or economic changes on the fair value of the reporting unit. Changes in the timing of the recovery of the mortgage business, inflation, interest rates and other changes in current expectations could cause an impairment to the Insurance, Home, or Consumer reporting units.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with indefinite lives relate to the Company's trademarks.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Intangible Assets with Definite Lives</w:t>
      </w:r>
    </w:p>
    <w:p>
      <w:pPr>
        <w:pStyle w:val="TextBody"/>
        <w:bidi w:val="0"/>
        <w:spacing w:lineRule="auto" w:line="288" w:before="180" w:after="283"/>
        <w:jc w:val="both"/>
        <w:rPr/>
      </w:pPr>
      <w:r>
        <w:rPr>
          <w:rFonts w:ascii="Times New Roman;serif" w:hAnsi="Times New Roman;serif"/>
          <w:b w:val="false"/>
          <w:color w:val="000000"/>
          <w:sz w:val="20"/>
        </w:rPr>
        <w:t xml:space="preserve">Intangible assets with definite lives relate to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162" w:type="dxa"/>
        <w:jc w:val="left"/>
        <w:tblInd w:w="0" w:type="dxa"/>
        <w:tblLayout w:type="fixed"/>
        <w:tblCellMar>
          <w:top w:w="28" w:type="dxa"/>
          <w:left w:w="28" w:type="dxa"/>
          <w:bottom w:w="28" w:type="dxa"/>
          <w:right w:w="28" w:type="dxa"/>
        </w:tblCellMar>
      </w:tblPr>
      <w:tblGrid>
        <w:gridCol w:w="809"/>
        <w:gridCol w:w="712"/>
        <w:gridCol w:w="714"/>
        <w:gridCol w:w="211"/>
        <w:gridCol w:w="736"/>
        <w:gridCol w:w="109"/>
        <w:gridCol w:w="109"/>
        <w:gridCol w:w="109"/>
        <w:gridCol w:w="109"/>
        <w:gridCol w:w="211"/>
        <w:gridCol w:w="796"/>
        <w:gridCol w:w="109"/>
        <w:gridCol w:w="109"/>
        <w:gridCol w:w="109"/>
        <w:gridCol w:w="109"/>
        <w:gridCol w:w="211"/>
        <w:gridCol w:w="73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69,100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(43,726)</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25,374</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11" w:type="dxa"/>
        <w:jc w:val="left"/>
        <w:tblInd w:w="0" w:type="dxa"/>
        <w:tblLayout w:type="fixed"/>
        <w:tblCellMar>
          <w:top w:w="28" w:type="dxa"/>
          <w:left w:w="28" w:type="dxa"/>
          <w:bottom w:w="28" w:type="dxa"/>
          <w:right w:w="28" w:type="dxa"/>
        </w:tblCellMar>
      </w:tblPr>
      <w:tblGrid>
        <w:gridCol w:w="971"/>
        <w:gridCol w:w="855"/>
        <w:gridCol w:w="858"/>
        <w:gridCol w:w="211"/>
        <w:gridCol w:w="736"/>
        <w:gridCol w:w="109"/>
        <w:gridCol w:w="109"/>
        <w:gridCol w:w="109"/>
        <w:gridCol w:w="109"/>
        <w:gridCol w:w="211"/>
        <w:gridCol w:w="796"/>
        <w:gridCol w:w="109"/>
        <w:gridCol w:w="109"/>
        <w:gridCol w:w="109"/>
        <w:gridCol w:w="109"/>
        <w:gridCol w:w="211"/>
        <w:gridCol w:w="73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69,100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(41,150)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27,950</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pPr>
      <w:r>
        <w:rPr>
          <w:rFonts w:ascii="Times New Roman;serif" w:hAnsi="Times New Roman;serif"/>
          <w:b w:val="false"/>
          <w:color w:val="000000"/>
          <w:sz w:val="20"/>
        </w:rPr>
        <w:t xml:space="preserve">Amortization of intangible assets with definite lives is computed on a straight-line basis and, based on balances as of June 30, 2026, future amortization is estimated to be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5624" w:type="dxa"/>
        <w:jc w:val="left"/>
        <w:tblInd w:w="0" w:type="dxa"/>
        <w:tblLayout w:type="fixed"/>
        <w:tblCellMar>
          <w:top w:w="28" w:type="dxa"/>
          <w:left w:w="28" w:type="dxa"/>
          <w:bottom w:w="28" w:type="dxa"/>
          <w:right w:w="28" w:type="dxa"/>
        </w:tblCellMar>
      </w:tblPr>
      <w:tblGrid>
        <w:gridCol w:w="1401"/>
        <w:gridCol w:w="1231"/>
        <w:gridCol w:w="1238"/>
        <w:gridCol w:w="335"/>
        <w:gridCol w:w="1172"/>
        <w:gridCol w:w="247"/>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current year</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2027</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2028</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2029</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2030</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with definite lives, net</w:t>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25,374</w:t>
            </w:r>
            <w:r>
              <w:rPr>
                <w:color w:val="000000"/>
              </w:rPr>
              <w:t> </w:t>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6—ACCRUED EXPENSES AND OTHER CURRENT LIABILITIES</w:t>
      </w:r>
    </w:p>
    <w:p>
      <w:pPr>
        <w:pStyle w:val="TextBody"/>
        <w:bidi w:val="0"/>
        <w:spacing w:lineRule="auto" w:line="288" w:before="180" w:after="283"/>
        <w:jc w:val="left"/>
        <w:rPr/>
      </w:pPr>
      <w:r>
        <w:rPr>
          <w:rFonts w:ascii="Times New Roman;serif" w:hAnsi="Times New Roman;serif"/>
          <w:b w:val="false"/>
          <w:color w:val="000000"/>
          <w:sz w:val="20"/>
        </w:rPr>
        <w:t xml:space="preserve">Accrued expenses and other current liabilities consist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7148" w:type="dxa"/>
        <w:jc w:val="left"/>
        <w:tblInd w:w="0" w:type="dxa"/>
        <w:tblLayout w:type="fixed"/>
        <w:tblCellMar>
          <w:top w:w="28" w:type="dxa"/>
          <w:left w:w="28" w:type="dxa"/>
          <w:bottom w:w="28" w:type="dxa"/>
          <w:right w:w="28" w:type="dxa"/>
        </w:tblCellMar>
      </w:tblPr>
      <w:tblGrid>
        <w:gridCol w:w="1612"/>
        <w:gridCol w:w="1418"/>
        <w:gridCol w:w="1424"/>
        <w:gridCol w:w="211"/>
        <w:gridCol w:w="841"/>
        <w:gridCol w:w="109"/>
        <w:gridCol w:w="109"/>
        <w:gridCol w:w="109"/>
        <w:gridCol w:w="109"/>
        <w:gridCol w:w="211"/>
        <w:gridCol w:w="841"/>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advertising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 and escrows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contingencies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111,086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126,803</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NOTE 7—SHAREHOLDERS' EQUITY</w:t>
      </w:r>
      <w:r>
        <w:rPr>
          <w:color w:val="000000"/>
        </w:rPr>
        <w:t> </w:t>
      </w:r>
    </w:p>
    <w:p>
      <w:pPr>
        <w:pStyle w:val="TextBody"/>
        <w:bidi w:val="0"/>
        <w:spacing w:lineRule="auto" w:line="288" w:before="180" w:after="283"/>
        <w:jc w:val="both"/>
        <w:rPr/>
      </w:pPr>
      <w:r>
        <w:rPr>
          <w:rFonts w:ascii="Times New Roman;serif" w:hAnsi="Times New Roman;serif"/>
          <w:b w:val="false"/>
          <w:color w:val="000000"/>
          <w:sz w:val="20"/>
        </w:rPr>
        <w:t xml:space="preserve">Basic and diluted income per share was determined based on the following share data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657" w:type="dxa"/>
        <w:jc w:val="left"/>
        <w:tblInd w:w="0" w:type="dxa"/>
        <w:tblLayout w:type="fixed"/>
        <w:tblCellMar>
          <w:top w:w="28" w:type="dxa"/>
          <w:left w:w="28" w:type="dxa"/>
          <w:bottom w:w="28" w:type="dxa"/>
          <w:right w:w="28" w:type="dxa"/>
        </w:tblCellMar>
      </w:tblPr>
      <w:tblGrid>
        <w:gridCol w:w="1325"/>
        <w:gridCol w:w="1164"/>
        <w:gridCol w:w="1171"/>
        <w:gridCol w:w="368"/>
        <w:gridCol w:w="368"/>
        <w:gridCol w:w="178"/>
        <w:gridCol w:w="178"/>
        <w:gridCol w:w="178"/>
        <w:gridCol w:w="178"/>
        <w:gridCol w:w="368"/>
        <w:gridCol w:w="368"/>
        <w:gridCol w:w="178"/>
        <w:gridCol w:w="109"/>
        <w:gridCol w:w="109"/>
        <w:gridCol w:w="109"/>
        <w:gridCol w:w="368"/>
        <w:gridCol w:w="368"/>
        <w:gridCol w:w="156"/>
        <w:gridCol w:w="154"/>
        <w:gridCol w:w="154"/>
        <w:gridCol w:w="154"/>
        <w:gridCol w:w="368"/>
        <w:gridCol w:w="368"/>
        <w:gridCol w:w="218"/>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basic common shares</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13,965</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13,549</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13,495</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share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diluted common shares</w:t>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14,054</w:t>
            </w:r>
            <w:r>
              <w:rPr>
                <w:color w:val="000000"/>
              </w:rPr>
              <w:t> </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13,650</w:t>
            </w:r>
            <w:r>
              <w:rPr>
                <w:color w:val="000000"/>
              </w:rPr>
              <w:t> </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14,156</w:t>
            </w:r>
            <w:r>
              <w:rPr>
                <w:color w:val="000000"/>
              </w:rPr>
              <w:t>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13,495</w:t>
            </w:r>
            <w:r>
              <w:rPr>
                <w:color w:val="000000"/>
              </w:rPr>
              <w:t> </w:t>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second quarter of 2026, the weighted average shares that were anti-dilutive, and therefore excluded from the calculation of diluted income per share, included options to purchase 0.8 million shares of common stock and 0.4 million restricted stock units. For the first six months of 2026, the weighted average shares that were anti-dilutive, and therefore excluded from the calculation of diluted income per share, included options to purchase 0.8 million shares of common stock and an immaterial amount of restricted stock units.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first six months of 2025,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first six months of 2025, because their inclusion would have been anti-dilutive. For the second quarter of 2025, the weighted average shares that were anti-dilutive, and therefore excluded from the calculation of diluted income per share, included options to purchase 0.9 million shares of common stock and an immaterial amount of restricted stock units. For the first six months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2025, the weighted average shares that were anti-dilutive, and therefore excluded from the calculation of diluted income per share, included options to purchase 0.9 million shares of common stock and an immaterial amount of restricted stock units.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convertible notes and the warrants issued by the Company could have been converted or exercised, respectively, into the Company’s common stock, subject to certain contingencies. The convertible notes were settled in 2025 and the warrants have expired and are no longer outstanding. The if-converted method was used for diluted net income per share of the convertible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Approximately 0.2 million and 0.3 million shares in the second quarter and first six months of 2025, respectively, associated with the 0.50% Convertible Senior Notes due July 15, 2025 were excluded from the calculation of diluted income (loss) per share because their inclusion would have been anti-dilutive. Shares of the Company's common stock associated with the warrants issued by the Company in 2020 were excluded from the calculation of diluted income (loss) per share for the first six months of 2026 and the second quarter and first six months of 2025, as they were anti-dilutive since the strike price of the warrants was greater than the average market price of the Company's common stock during the relevant periods. The warrants expired on February 11,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Equity Distribution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July 2024, the Company entered into an Equity Distribution Agreement in connection with the establishment of an ATM Equity Program under which the Company may sell up to an aggregate of $50.0 million of shares of the Company's common stock. No sales were made under the Equity Distribution Agreement during the six months ended June 30,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Common Stock Repurchases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plan authorized for the repurchase of LendingTree's common stock. During the first six months of 2026 and 2025, the Company did not repurchase shares of its common stock. At June 30, 2026, approximately $96.7 million of the previous authorizations to repurchase common stock remain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8—STOCK-BASED COMPENSATION</w:t>
      </w:r>
    </w:p>
    <w:p>
      <w:pPr>
        <w:pStyle w:val="TextBody"/>
        <w:bidi w:val="0"/>
        <w:spacing w:lineRule="auto" w:line="288" w:before="180" w:after="283"/>
        <w:jc w:val="both"/>
        <w:rPr/>
      </w:pPr>
      <w:r>
        <w:rPr>
          <w:rFonts w:ascii="Times New Roman;serif" w:hAnsi="Times New Roman;serif"/>
          <w:b w:val="false"/>
          <w:color w:val="000000"/>
          <w:sz w:val="20"/>
        </w:rPr>
        <w:t xml:space="preserve">Non-cash compensation related to equity awards is included in the following line items in the accompanying consolidated statements of operations and comprehensive income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055" w:type="dxa"/>
        <w:jc w:val="left"/>
        <w:tblInd w:w="0" w:type="dxa"/>
        <w:tblLayout w:type="fixed"/>
        <w:tblCellMar>
          <w:top w:w="28" w:type="dxa"/>
          <w:left w:w="28" w:type="dxa"/>
          <w:bottom w:w="28" w:type="dxa"/>
          <w:right w:w="28" w:type="dxa"/>
        </w:tblCellMar>
      </w:tblPr>
      <w:tblGrid>
        <w:gridCol w:w="1090"/>
        <w:gridCol w:w="960"/>
        <w:gridCol w:w="965"/>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non-cash compensation</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15,089</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changes in outstanding stock options is as follows:</w:t>
      </w:r>
    </w:p>
    <w:tbl>
      <w:tblPr>
        <w:tblW w:w="9131" w:type="dxa"/>
        <w:jc w:val="left"/>
        <w:tblInd w:w="0" w:type="dxa"/>
        <w:tblLayout w:type="fixed"/>
        <w:tblCellMar>
          <w:top w:w="28" w:type="dxa"/>
          <w:left w:w="28" w:type="dxa"/>
          <w:bottom w:w="28" w:type="dxa"/>
          <w:right w:w="28" w:type="dxa"/>
        </w:tblCellMar>
      </w:tblPr>
      <w:tblGrid>
        <w:gridCol w:w="1248"/>
        <w:gridCol w:w="1099"/>
        <w:gridCol w:w="1102"/>
        <w:gridCol w:w="499"/>
        <w:gridCol w:w="499"/>
        <w:gridCol w:w="501"/>
        <w:gridCol w:w="109"/>
        <w:gridCol w:w="109"/>
        <w:gridCol w:w="109"/>
        <w:gridCol w:w="211"/>
        <w:gridCol w:w="736"/>
        <w:gridCol w:w="109"/>
        <w:gridCol w:w="109"/>
        <w:gridCol w:w="109"/>
        <w:gridCol w:w="109"/>
        <w:gridCol w:w="330"/>
        <w:gridCol w:w="330"/>
        <w:gridCol w:w="331"/>
        <w:gridCol w:w="109"/>
        <w:gridCol w:w="109"/>
        <w:gridCol w:w="109"/>
        <w:gridCol w:w="315"/>
        <w:gridCol w:w="608"/>
        <w:gridCol w:w="232"/>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pPr>
            <w:r>
              <w:rPr>
                <w:rFonts w:ascii="Times New Roman;serif" w:hAnsi="Times New Roman;serif"/>
                <w:b/>
                <w:color w:val="000000"/>
                <w:sz w:val="16"/>
              </w:rPr>
              <w:t>Value</w:t>
            </w:r>
            <w:r>
              <w:rPr>
                <w:rFonts w:ascii="Times New Roman;serif" w:hAnsi="Times New Roman;serif"/>
                <w:b/>
                <w:color w:val="000000"/>
                <w:sz w:val="10"/>
              </w:rPr>
              <w:t>(a)</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(per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January 1, 2026</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359,477</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(33,655)</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June 30, 2026</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325,822</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at June 30, 2026</w:t>
            </w:r>
          </w:p>
        </w:tc>
        <w:tc>
          <w:tcPr>
            <w:tcW w:w="998"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325,822</w:t>
            </w:r>
            <w:r>
              <w:rPr>
                <w:color w:val="000000"/>
              </w:rPr>
              <w:t> </w:t>
            </w:r>
          </w:p>
        </w:tc>
        <w:tc>
          <w:tcPr>
            <w:tcW w:w="50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238.51</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aggregate intrinsic value represents the total pre-tax intrinsic value (the difference between the Company's closing stock price of $44.29 on the last trading day of the quarter ended June 30, 2026 and the exercise price, multiplied by the number of shares covered by in-the-money options) that would have been received by the option holder had the option holder exercised these options on June 30, 2026. The intrinsic value changes based on the market value of the Company's common stock.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 Options with Market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changes in outstanding stock options with market conditions at target is as follows:</w:t>
      </w:r>
    </w:p>
    <w:tbl>
      <w:tblPr>
        <w:tblW w:w="10205" w:type="dxa"/>
        <w:jc w:val="left"/>
        <w:tblInd w:w="0" w:type="dxa"/>
        <w:tblLayout w:type="fixed"/>
        <w:tblCellMar>
          <w:top w:w="28" w:type="dxa"/>
          <w:left w:w="28" w:type="dxa"/>
          <w:bottom w:w="28" w:type="dxa"/>
          <w:right w:w="28" w:type="dxa"/>
        </w:tblCellMar>
      </w:tblPr>
      <w:tblGrid>
        <w:gridCol w:w="1122"/>
        <w:gridCol w:w="988"/>
        <w:gridCol w:w="991"/>
        <w:gridCol w:w="1008"/>
        <w:gridCol w:w="971"/>
        <w:gridCol w:w="974"/>
        <w:gridCol w:w="109"/>
        <w:gridCol w:w="109"/>
        <w:gridCol w:w="109"/>
        <w:gridCol w:w="211"/>
        <w:gridCol w:w="736"/>
        <w:gridCol w:w="109"/>
        <w:gridCol w:w="109"/>
        <w:gridCol w:w="109"/>
        <w:gridCol w:w="109"/>
        <w:gridCol w:w="330"/>
        <w:gridCol w:w="330"/>
        <w:gridCol w:w="331"/>
        <w:gridCol w:w="109"/>
        <w:gridCol w:w="109"/>
        <w:gridCol w:w="109"/>
        <w:gridCol w:w="305"/>
        <w:gridCol w:w="589"/>
        <w:gridCol w:w="229"/>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 with Market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pPr>
            <w:r>
              <w:rPr>
                <w:rFonts w:ascii="Times New Roman;serif" w:hAnsi="Times New Roman;serif"/>
                <w:b/>
                <w:color w:val="000000"/>
                <w:sz w:val="16"/>
              </w:rPr>
              <w:t>Value</w:t>
            </w:r>
            <w:r>
              <w:rPr>
                <w:rFonts w:ascii="Times New Roman;serif" w:hAnsi="Times New Roman;serif"/>
                <w:b/>
                <w:color w:val="000000"/>
                <w:sz w:val="10"/>
              </w:rPr>
              <w:t>(a)</w:t>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(per option)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January 1, 2026</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481,669</w:t>
            </w:r>
            <w:r>
              <w:rPr>
                <w:color w:val="000000"/>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June 30, 2026</w:t>
            </w:r>
          </w:p>
        </w:tc>
        <w:tc>
          <w:tcPr>
            <w:tcW w:w="1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481,669</w:t>
            </w:r>
            <w:r>
              <w:rPr>
                <w:color w:val="000000"/>
              </w:rPr>
              <w:t> </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at June 30, 2026</w:t>
            </w:r>
          </w:p>
        </w:tc>
        <w:tc>
          <w:tcPr>
            <w:tcW w:w="1979"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481,669</w:t>
            </w:r>
            <w:r>
              <w:rPr>
                <w:color w:val="000000"/>
              </w:rPr>
              <w:t> </w:t>
            </w:r>
          </w:p>
        </w:tc>
        <w:tc>
          <w:tcPr>
            <w:tcW w:w="97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195.10</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aggregate intrinsic value represents the total pre-tax intrinsic value (the difference between the Company's closing stock price of $44.29 on the last trading day of the quarter ended June 30, 2026 and the exercise price, multiplied by the number of shares covered by in-the-money options) that would have been received by the option holder had the option holder exercised these options on June 30, 2026. The intrinsic value changes based on the market value of the Company's common stock.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no additional performance-based nonqualified stock options with a market condition had been earned or remain available to be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summary of changes in outstanding nonvested restricted stock units (“RSUs”) is as follows:</w:t>
      </w:r>
    </w:p>
    <w:tbl>
      <w:tblPr>
        <w:tblW w:w="7498" w:type="dxa"/>
        <w:jc w:val="left"/>
        <w:tblInd w:w="0" w:type="dxa"/>
        <w:tblLayout w:type="fixed"/>
        <w:tblCellMar>
          <w:top w:w="28" w:type="dxa"/>
          <w:left w:w="28" w:type="dxa"/>
          <w:bottom w:w="28" w:type="dxa"/>
          <w:right w:w="28" w:type="dxa"/>
        </w:tblCellMar>
      </w:tblPr>
      <w:tblGrid>
        <w:gridCol w:w="951"/>
        <w:gridCol w:w="834"/>
        <w:gridCol w:w="840"/>
        <w:gridCol w:w="450"/>
        <w:gridCol w:w="450"/>
        <w:gridCol w:w="436"/>
        <w:gridCol w:w="109"/>
        <w:gridCol w:w="109"/>
        <w:gridCol w:w="109"/>
        <w:gridCol w:w="680"/>
        <w:gridCol w:w="2034"/>
        <w:gridCol w:w="496"/>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(per unit)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January 1, 2026</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720,460</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41.50</w:t>
            </w: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(337,091)</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(34,079)</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June 30, 2026</w:t>
            </w:r>
          </w:p>
        </w:tc>
        <w:tc>
          <w:tcPr>
            <w:tcW w:w="90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894,290</w:t>
            </w: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44.05</w:t>
            </w:r>
            <w:r>
              <w:rPr>
                <w:color w:val="000000"/>
              </w:rPr>
              <w:t> </w:t>
            </w:r>
          </w:p>
        </w:tc>
        <w:tc>
          <w:tcPr>
            <w:tcW w:w="4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Restricted Stock Units with Market Conditions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summary of changes in outstanding nonvested RSUs with performance conditions is as follows:</w:t>
      </w:r>
    </w:p>
    <w:tbl>
      <w:tblPr>
        <w:tblW w:w="7645" w:type="dxa"/>
        <w:jc w:val="left"/>
        <w:tblInd w:w="0" w:type="dxa"/>
        <w:tblLayout w:type="fixed"/>
        <w:tblCellMar>
          <w:top w:w="28" w:type="dxa"/>
          <w:left w:w="28" w:type="dxa"/>
          <w:bottom w:w="28" w:type="dxa"/>
          <w:right w:w="28" w:type="dxa"/>
        </w:tblCellMar>
      </w:tblPr>
      <w:tblGrid>
        <w:gridCol w:w="951"/>
        <w:gridCol w:w="834"/>
        <w:gridCol w:w="840"/>
        <w:gridCol w:w="434"/>
        <w:gridCol w:w="434"/>
        <w:gridCol w:w="436"/>
        <w:gridCol w:w="169"/>
        <w:gridCol w:w="169"/>
        <w:gridCol w:w="169"/>
        <w:gridCol w:w="680"/>
        <w:gridCol w:w="2034"/>
        <w:gridCol w:w="49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 with Market Conditions (a)</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Units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(per unit)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January 1, 2026</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79,000</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38.39</w:t>
            </w: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June 30, 2026</w:t>
            </w:r>
          </w:p>
        </w:tc>
        <w:tc>
          <w:tcPr>
            <w:tcW w:w="868"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136,800</w:t>
            </w: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34.32</w:t>
            </w:r>
            <w:r>
              <w:rPr>
                <w:color w:val="000000"/>
              </w:rPr>
              <w:t> </w:t>
            </w:r>
          </w:p>
        </w:tc>
        <w:tc>
          <w:tcPr>
            <w:tcW w:w="4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(a)During the six months ended June 30, 2026, the Company granted RSUs with market conditions that will vest if the Company's 90 trading day average closing stock price equals or exceeds certain price hurdles ($69.15, $83.85 and $98.55) during the performance period of March 5, 2026 to March 5, 2030. Upon achievement of each price hurdle, one-half of the awards will vest upon the later of the achievement date or the one-year anniversary of the grant date, and the other half of the awards will vest on the first anniversary of the achievement date.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purposes of determining stock-based compensation expense, the weighted average grant date fair value per share of the RSUs with market conditions was estimated using the Monte Carlo simulation model, which requires the use of various key assumptions.</w:t>
      </w:r>
    </w:p>
    <w:tbl>
      <w:tblPr>
        <w:tblW w:w="4410" w:type="dxa"/>
        <w:jc w:val="left"/>
        <w:tblInd w:w="0" w:type="dxa"/>
        <w:tblLayout w:type="fixed"/>
        <w:tblCellMar>
          <w:top w:w="28" w:type="dxa"/>
          <w:left w:w="28" w:type="dxa"/>
          <w:bottom w:w="28" w:type="dxa"/>
          <w:right w:w="28" w:type="dxa"/>
        </w:tblCellMar>
      </w:tblPr>
      <w:tblGrid>
        <w:gridCol w:w="744"/>
        <w:gridCol w:w="654"/>
        <w:gridCol w:w="657"/>
        <w:gridCol w:w="326"/>
        <w:gridCol w:w="245"/>
        <w:gridCol w:w="560"/>
        <w:gridCol w:w="326"/>
        <w:gridCol w:w="245"/>
        <w:gridCol w:w="653"/>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term </w:t>
            </w:r>
            <w:r>
              <w:rPr>
                <w:rFonts w:ascii="Times New Roman;serif" w:hAnsi="Times New Roman;serif"/>
                <w:b w:val="false"/>
                <w:color w:val="000000"/>
                <w:sz w:val="13"/>
              </w:rPr>
              <w:t>(1)</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years</w:t>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years</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volatility </w:t>
            </w:r>
            <w:r>
              <w:rPr>
                <w:rFonts w:ascii="Times New Roman;serif" w:hAnsi="Times New Roman;serif"/>
                <w:b w:val="false"/>
                <w:color w:val="000000"/>
                <w:sz w:val="13"/>
              </w:rPr>
              <w:t>(2)</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Risk-free interest rate </w:t>
            </w:r>
            <w:r>
              <w:rPr>
                <w:rFonts w:ascii="Times New Roman;serif" w:hAnsi="Times New Roman;serif"/>
                <w:b w:val="false"/>
                <w:color w:val="000000"/>
                <w:sz w:val="13"/>
              </w:rPr>
              <w:t>(3)</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dividend </w:t>
            </w:r>
            <w:r>
              <w:rPr>
                <w:rFonts w:ascii="Times New Roman;serif" w:hAnsi="Times New Roman;serif"/>
                <w:b w:val="false"/>
                <w:color w:val="000000"/>
                <w:sz w:val="13"/>
              </w:rPr>
              <w:t>(4)</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expected term of RSUs with market conditions granted was calculated using the respective performance period plus any time-based vesting requirement.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expected volatility rate is based on the historical volatility of the Company's common stock.</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risk-free interest rate is specific to the date of grant. The risk-free interest rate is based on U.S. Treasury yields for notes with comparable expected terms as the awards in effect at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(4)For all RSUs with market conditions granted, no dividends are expected to be paid over the contractual term of the RSUs, resulting in a zero expected dividend rate.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2021, the Company implemented an employee stock purchase plan (“ESPP”), under which a total of 262,731 shares of the Company's common stock were reserved for issuance. As of June 30, 2026, 52,604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During the six months ended June 30, 2026, 21,700 shares were issued under the ESPP.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granted employee stock purchase rights to certain employees with a grant date fair value per share of $15.95 and $13.70, respectively, calculated using the Black-Scholes option pricing model. For purposes of determining stock-based compensation expense, the grant date fair value per share estimated using the Black-Scholes option pricing model required the use of the following key assumptions:</w:t>
      </w:r>
    </w:p>
    <w:tbl>
      <w:tblPr>
        <w:tblW w:w="4420" w:type="dxa"/>
        <w:jc w:val="left"/>
        <w:tblInd w:w="0" w:type="dxa"/>
        <w:tblLayout w:type="fixed"/>
        <w:tblCellMar>
          <w:top w:w="28" w:type="dxa"/>
          <w:left w:w="28" w:type="dxa"/>
          <w:bottom w:w="28" w:type="dxa"/>
          <w:right w:w="28" w:type="dxa"/>
        </w:tblCellMar>
      </w:tblPr>
      <w:tblGrid>
        <w:gridCol w:w="744"/>
        <w:gridCol w:w="654"/>
        <w:gridCol w:w="657"/>
        <w:gridCol w:w="307"/>
        <w:gridCol w:w="307"/>
        <w:gridCol w:w="315"/>
        <w:gridCol w:w="154"/>
        <w:gridCol w:w="154"/>
        <w:gridCol w:w="154"/>
        <w:gridCol w:w="293"/>
        <w:gridCol w:w="293"/>
        <w:gridCol w:w="388"/>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term </w:t>
            </w:r>
            <w:r>
              <w:rPr>
                <w:rFonts w:ascii="Times New Roman;serif" w:hAnsi="Times New Roman;serif"/>
                <w:b w:val="false"/>
                <w:color w:val="000000"/>
                <w:sz w:val="13"/>
              </w:rPr>
              <w:t>(1)</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years</w:t>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years</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dividend </w:t>
            </w:r>
            <w:r>
              <w:rPr>
                <w:rFonts w:ascii="Times New Roman;serif" w:hAnsi="Times New Roman;serif"/>
                <w:b w:val="false"/>
                <w:color w:val="000000"/>
                <w:sz w:val="13"/>
              </w:rPr>
              <w:t>(2)</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volatility </w:t>
            </w:r>
            <w:r>
              <w:rPr>
                <w:rFonts w:ascii="Times New Roman;serif" w:hAnsi="Times New Roman;serif"/>
                <w:b w:val="false"/>
                <w:color w:val="000000"/>
                <w:sz w:val="13"/>
              </w:rPr>
              <w:t>(3)</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205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Risk-free interest rate </w:t>
            </w:r>
            <w:r>
              <w:rPr>
                <w:rFonts w:ascii="Times New Roman;serif" w:hAnsi="Times New Roman;serif"/>
                <w:b w:val="false"/>
                <w:color w:val="000000"/>
                <w:sz w:val="13"/>
              </w:rPr>
              <w:t>(4)</w:t>
            </w:r>
          </w:p>
        </w:tc>
        <w:tc>
          <w:tcPr>
            <w:tcW w:w="929" w:type="dxa"/>
            <w:gridSpan w:val="3"/>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462"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4.24%</w:t>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expected term was calculated using the time period between the grant date and the purchase date.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(2)No dividends are expected to be paid, resulting in a zero expected dividend rate.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expected volatility rate is based on the historical volatility of the Company's common stock.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risk-free interest rate is specific to the date of grant. The risk-free interest rate is based on U.S. Treasury yields for notes with comparable expected terms as the employee stock purchase rights in effect at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firstLine="720"/>
        <w:jc w:val="both"/>
        <w:rPr>
          <w:rFonts w:ascii="Times New Roman;serif" w:hAnsi="Times New Roman;serif"/>
          <w:b/>
          <w:color w:val="000000"/>
          <w:sz w:val="20"/>
        </w:rPr>
      </w:pPr>
      <w:r>
        <w:rPr>
          <w:rFonts w:ascii="Times New Roman;serif" w:hAnsi="Times New Roman;serif"/>
          <w:b/>
          <w:color w:val="000000"/>
          <w:sz w:val="20"/>
        </w:rPr>
        <w:t>NOTE 9—INCOME TAXES</w:t>
      </w:r>
    </w:p>
    <w:tbl>
      <w:tblPr>
        <w:tblW w:w="8057" w:type="dxa"/>
        <w:jc w:val="left"/>
        <w:tblInd w:w="0" w:type="dxa"/>
        <w:tblLayout w:type="fixed"/>
        <w:tblCellMar>
          <w:top w:w="28" w:type="dxa"/>
          <w:left w:w="28" w:type="dxa"/>
          <w:bottom w:w="28" w:type="dxa"/>
          <w:right w:w="28" w:type="dxa"/>
        </w:tblCellMar>
      </w:tblPr>
      <w:tblGrid>
        <w:gridCol w:w="890"/>
        <w:gridCol w:w="783"/>
        <w:gridCol w:w="786"/>
        <w:gridCol w:w="211"/>
        <w:gridCol w:w="691"/>
        <w:gridCol w:w="271"/>
        <w:gridCol w:w="109"/>
        <w:gridCol w:w="109"/>
        <w:gridCol w:w="109"/>
        <w:gridCol w:w="211"/>
        <w:gridCol w:w="691"/>
        <w:gridCol w:w="271"/>
        <w:gridCol w:w="109"/>
        <w:gridCol w:w="109"/>
        <w:gridCol w:w="109"/>
        <w:gridCol w:w="211"/>
        <w:gridCol w:w="796"/>
        <w:gridCol w:w="271"/>
        <w:gridCol w:w="109"/>
        <w:gridCol w:w="109"/>
        <w:gridCol w:w="109"/>
        <w:gridCol w:w="211"/>
        <w:gridCol w:w="466"/>
        <w:gridCol w:w="316"/>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percentages)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902"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32.3</w:t>
            </w:r>
          </w:p>
        </w:tc>
        <w:tc>
          <w:tcPr>
            <w:tcW w:w="27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17.7</w:t>
            </w:r>
          </w:p>
        </w:tc>
        <w:tc>
          <w:tcPr>
            <w:tcW w:w="27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27.6</w:t>
            </w:r>
          </w:p>
        </w:tc>
        <w:tc>
          <w:tcPr>
            <w:tcW w:w="27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12.9</w:t>
            </w:r>
          </w:p>
        </w:tc>
        <w:tc>
          <w:tcPr>
            <w:tcW w:w="316"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second quarter and first six months of 2026, the effective tax rate varied from the federal statutory rate of 21% primarily due to the effect of state taxes and various unfavorable permanent tax adjustments. For the second quarter and first six months of 2025, the effective tax rate varied from the federal statutory rate of 21% primarily due to the change in the valuation allowance, net of the current period change in tax effected net indefinite-lived intangibles and current tax expense on taxable income.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out-of-the-money stock options may expire unexercised, and as a result the Company could be required to reverse the related deferred tax asset for share-based compensation, which would increase income tax expense and the effective tax rate in a future period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10—DEBT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21, 2025, the Company entered into a credit agreement (the “2025 Credit Agreement”), consisting of a $75.0 million revolving credit facility (the “2025 Revolving Facility”), which matures on August 21, 2030, and a $400.0 million term loan facility (the “2025 Term Loan” and together with the 2025 Revolving Facility, the “2025 Credit Facility”), which matures on August 21, 2030.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gross carrying amount, debt issuance costs, original issue discount, and net carrying value of the 2025 Term Loan in the accompanying consolidated balance sheets, are as follows (in thousands):</w:t>
      </w:r>
    </w:p>
    <w:tbl>
      <w:tblPr>
        <w:tblW w:w="5754" w:type="dxa"/>
        <w:jc w:val="left"/>
        <w:tblInd w:w="0" w:type="dxa"/>
        <w:tblLayout w:type="fixed"/>
        <w:tblCellMar>
          <w:top w:w="28" w:type="dxa"/>
          <w:left w:w="28" w:type="dxa"/>
          <w:bottom w:w="28" w:type="dxa"/>
          <w:right w:w="28" w:type="dxa"/>
        </w:tblCellMar>
      </w:tblPr>
      <w:tblGrid>
        <w:gridCol w:w="1106"/>
        <w:gridCol w:w="973"/>
        <w:gridCol w:w="981"/>
        <w:gridCol w:w="211"/>
        <w:gridCol w:w="841"/>
        <w:gridCol w:w="109"/>
        <w:gridCol w:w="109"/>
        <w:gridCol w:w="109"/>
        <w:gridCol w:w="109"/>
        <w:gridCol w:w="211"/>
        <w:gridCol w:w="841"/>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original issue discount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carrying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Portion</w:t>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original issue discount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carrying amount</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386,351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387,694</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borrowings outstanding under the 2025 Term Loan bear interest based on the Secured Overnight Financing Rate ("SOFR") of 7.89%. The carrying value of the Company's financial instruments are equal to fair value at June 30, 2026.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 borrowings outstanding under the 2025 Revolving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in compliance with all covenants at June 30, 2026.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the Company recorded interest expense related to its 2025 Credit Agreement of $16.8 million which consisted of $15.9 million associated with borrowings bearing interest based on the SOFR rate, $0.5 million associated with the amortization of debt issuance costs, $0.3 million associated with the accretion of the original issue discount, and $0.1 million in unused commitment fees.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2025, the Company recorded interest expense on the 2025 Notes of $0.6 million which consisted of $0.3 million associated with the 0.50% coupon rate and $0.3 million associated with the amortization of the debt issuance costs. Additionally, a gain on the extinguishment of debt of $0.3 million for the repurchase of a portion of the 2025 Notes is included in interest expense, net in the consolidated statement of operations and comprehensive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2025, the Company recorded interest expense related to its Credit Agreement from 2021 of $11.3 million which consisted of $10.3 million associated with borrowings bearing interest at the SOFR option rate, $0.5 million in unused commitment fees and $0.5 million associated with the amortization of the debt issuance costs.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2025, the Company recorded interest expense related to the 2024 Term Loan of $7.8 million which consisted of $7.1 million associated with borrowings bearing interest based on the SOFR option rate, $0.2 million associated with unused commitment fees, $0.3 million associated with the amortization of debt issuance costs, and $0.2 million associated with the accretion of the original issue discount.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11—CONTINGENCIES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LendingTree is involved in legal proceedings on an ongoing basis. In assessing the materiality of a legal proceeding, the Company evaluates, among other factors, the amount of monetary damages claimed, as well as the potential impact of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monetary remedies sought by plaintiffs (e.g., injunctive relief) that may require it to change its business practices in a manner that could have a material and adverse impact on the Company's business. With respect to the matters disclosed in this Note 11, unless otherwise indicated, the Company is unable to estimate the possible loss or range of losses that could potentially result from the application of such non-monetary remedies.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party to litigation involving property, contract, intellectual property and a variety of other claims. The amounts that may be incurred in such matters may be subject to insurance coverage.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litigation settlement accruals of $0.9 million and $13.0 million, respectively. The litigation settlement accruals relate to litigation matters that were either settled, a firm offer for settlement was extended or an estimated settlement range has been determined, thereby establishing an accrual amount that is both probable and reasonably estimable.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or about October 29, 2019, Joseph Mantha filed a class action lawsuit against QuoteWizard.com, LLC alleging claims in violation of the Telephone Consumer Protection Act. On August 16, 2024, the U.S. District Court of Massachusetts granted the plaintiff’s motion to certify a class. The Company participated in a mediation in April 2025 and reached a preliminary agreement on the terms of settlement for $19.0 million. The settlement was approved by the court on September 29, 2025, and the matter was dismissed with prejudice. The settlement was payable in three equal installments. The first payment was made in October 2025, the second payment was made in the first quarter of 2026, and the final payment was made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12—RELATED PARTY TRANSACTIONS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Company's Board of Directors approved a $0.4 million contribution to the LendingTree Foundation that the Company paid in the second quarter of 2026. Officers of the Company serve as officers of the LendingTree Foundation.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13—SEGMENT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(the "CODM"), the Company's Chief Executive Officer, for the purpose of assessing performance and allocating resources.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Home segment includes the following products: purchase mortgage, refinance mortgage, and home equity loans and lines of credit. The Consumer segment includes the following products: credit cards, personal loans, small business loans, auto loans, deposit accounts, and other credit products. The Insurance segment consists of insurance quote products and sales of insurance policies in the agency businesses. The insurance agency business was closed in the second quarter of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tbl>
      <w:tblPr>
        <w:tblW w:w="7574"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646"/>
        <w:gridCol w:w="109"/>
        <w:gridCol w:w="196"/>
        <w:gridCol w:w="736"/>
        <w:gridCol w:w="109"/>
        <w:gridCol w:w="196"/>
        <w:gridCol w:w="316"/>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88,823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21,798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14,147</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8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646"/>
        <w:gridCol w:w="109"/>
        <w:gridCol w:w="196"/>
        <w:gridCol w:w="736"/>
        <w:gridCol w:w="109"/>
        <w:gridCol w:w="196"/>
        <w:gridCol w:w="33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39,996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85,110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10,770</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center"/>
        <w:rPr/>
      </w:pPr>
      <w:r>
        <w:rPr/>
      </w:r>
    </w:p>
    <w:tbl>
      <w:tblPr>
        <w:tblW w:w="7754"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736"/>
        <w:gridCol w:w="109"/>
        <w:gridCol w:w="196"/>
        <w:gridCol w:w="736"/>
        <w:gridCol w:w="109"/>
        <w:gridCol w:w="196"/>
        <w:gridCol w:w="406"/>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60,553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189,580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52,912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37,064</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7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736"/>
        <w:gridCol w:w="109"/>
        <w:gridCol w:w="196"/>
        <w:gridCol w:w="736"/>
        <w:gridCol w:w="109"/>
        <w:gridCol w:w="196"/>
        <w:gridCol w:w="33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164,091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13,815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(4,035)</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CODM does not review information on segment assets and as such, no segment asset information is reported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 </w:t>
      </w:r>
    </w:p>
    <w:p>
      <w:pPr>
        <w:pStyle w:val="TextBody"/>
        <w:bidi w:val="0"/>
        <w:spacing w:lineRule="auto" w:line="288" w:before="120" w:after="283"/>
        <w:jc w:val="both"/>
        <w:rPr/>
      </w:pPr>
      <w:r>
        <w:rPr>
          <w:rFonts w:ascii="Times New Roman;serif" w:hAnsi="Times New Roman;serif"/>
          <w:b w:val="false"/>
          <w:color w:val="000000"/>
          <w:sz w:val="20"/>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included elsewhere in this Quarterly Report on Form 10-Q and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the Company's Annual Report on Form 10-K for the year ended December 31, 2025 (the "2025 Annual Report").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LendingTree, Inc. is the parent of LT Intermediate Company, LLC, which holds all of the outstanding ownership interests of LendingTree, LLC, and its subsidiaries.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small business loans, insurance quotes and other related offerings. In addition, we offer consumers tools and resources, including free credit scores, that facilitate comparison shopping for loans, deposit products, insurance, and other offerings. We seek to match consumers with multiple providers, who can provide them competing quotes for the product(s) they are seeking. We also serve as a valued partner to insurance carriers, lenders and other providers seeking an efficient, scalable and flexible source of customer acquisition with directly measurable benefits, by matching the consumer inquiries we generate with these Network Partners.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believe the consumer and insurance industries are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Economic Conditions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current global economic environment, specifically including inflationary pressures and interest rates, and any resulting impacts on our financial position and results of operations. Refer to Part I, Item 1A. “Risk Factors” of our 2025 Annual Report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2026, the interest rate environment and inflationary pressures have continued to present challenges for many of our mortgage lending partners. In our Home segment, mortgage rates have remained relatively consistent in the second quarter of 2026 compared to the second quarter of 2025, but remain significantly increased compared to the low rates seen in 2021. A shortage of in-the-money refinance borrowers persists given the current higher level of mortgage rates, and historically low existing home sales are suppressing consumer demand for purchase loans. Our Consumer segment has benefited from the Federal Reserve rate decreases, but recent geopolitical events and higher consumer tax refunds appear to have pressured consumer demand for new borrowing. In our Insurance segment, carriers are broadly experiencing strong automotive underwriting results following multiple quarters of premium increases and stable loss cost trends. We continue to be optimistic about the remainder of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three reportable segments: Home, Consumer, and Insurance.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Recent Mortgage Interest Rate Trends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rate and market risks are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dynamically adjust selling and marketing expenditures in all interest rate environments to optimize our results against these variables.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According to Freddie Mac, the monthly average 30-year mortgage interest rates increased from a monthly average of 6.2% in December 2025 to a monthly average of 6.5% in June 2026. On a quarterly basis, 30-year mortgage interest rates in the second quarter of 2026 averaged 6.4%, compared to 6.8%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before="160" w:after="283"/>
        <w:jc w:val="both"/>
        <w:rPr/>
      </w:pPr>
      <w:r>
        <w:rPr/>
        <w:drawing>
          <wp:inline distT="0" distB="0" distL="0" distR="0">
            <wp:extent cx="6515100" cy="4657725"/>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3"/>
                    <a:stretch>
                      <a:fillRect/>
                    </a:stretch>
                  </pic:blipFill>
                  <pic:spPr bwMode="auto">
                    <a:xfrm>
                      <a:off x="0" y="0"/>
                      <a:ext cx="6515100" cy="4657725"/>
                    </a:xfrm>
                    <a:prstGeom prst="rect">
                      <a:avLst/>
                    </a:prstGeom>
                  </pic:spPr>
                </pic:pic>
              </a:graphicData>
            </a:graphic>
          </wp:inline>
        </w:drawing>
      </w:r>
      <w:bookmarkStart w:id="1" w:name="i-2"/>
      <w:bookmarkEnd w:id="1"/>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decreased to 37% in the second quarter of 2026 compared to 40% in the first quarter of 2026 and increased from 29% in the second quarter of 2025. In the second quarter of 2026, total refinance origination dollars decreased 16% from the fourth quarter of 2025 and increased 40% from the second quarter of 2025. Industry-wide mortgage origination dollars in the second quarter of 2026 decreased 3% from the fourth quarter of 2025, but increased 10% from the second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According to MBA projections, the mix of mortgage origination dollars is expected to continue to be weighted towards purchase mortgages with the refinance share representing approximately 35% for 2026 compared to 34% in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U.S. Real Estate Market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According to Fannie Mae data, existing home sales increased approximately 2% in the second quarter of 2026 compared to the second quarter of 2025. Fannie Mae predicts overall existing-home sales to increase approximately 1% in 2026 compared to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 for the Three and Six Months ended June 30, 2026 and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discussion within Revenue provides the details of consolidated revenue by segment and significant products. In this section, we describe overall changes in revenue in our segments and significant products within each segment and increases or decreases in revenue from the prior period. We also provide insight into how changes in price and volume in each significant product impacted product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Segment Profit is a discussion of profitability within each segment of the business. It is impacted by segment revenues as well as segment cost of revenue and marketing expenses. In Segment Profit, we provide a discussion of the business within each segment, addressing both Company and market impacts on the profitability of each segment in addition to a discussion of segment margin. </w:t>
      </w:r>
    </w:p>
    <w:tbl>
      <w:tblPr>
        <w:tblW w:w="10205" w:type="dxa"/>
        <w:jc w:val="center"/>
        <w:tblInd w:w="0" w:type="dxa"/>
        <w:tblLayout w:type="fixed"/>
        <w:tblCellMar>
          <w:top w:w="28" w:type="dxa"/>
          <w:left w:w="28" w:type="dxa"/>
          <w:bottom w:w="28" w:type="dxa"/>
          <w:right w:w="28" w:type="dxa"/>
        </w:tblCellMar>
      </w:tblPr>
      <w:tblGrid>
        <w:gridCol w:w="1007"/>
        <w:gridCol w:w="599"/>
        <w:gridCol w:w="605"/>
        <w:gridCol w:w="196"/>
        <w:gridCol w:w="646"/>
        <w:gridCol w:w="109"/>
        <w:gridCol w:w="196"/>
        <w:gridCol w:w="646"/>
        <w:gridCol w:w="109"/>
        <w:gridCol w:w="196"/>
        <w:gridCol w:w="556"/>
        <w:gridCol w:w="109"/>
        <w:gridCol w:w="321"/>
        <w:gridCol w:w="325"/>
        <w:gridCol w:w="377"/>
        <w:gridCol w:w="109"/>
        <w:gridCol w:w="109"/>
        <w:gridCol w:w="109"/>
        <w:gridCol w:w="196"/>
        <w:gridCol w:w="661"/>
        <w:gridCol w:w="109"/>
        <w:gridCol w:w="196"/>
        <w:gridCol w:w="646"/>
        <w:gridCol w:w="109"/>
        <w:gridCol w:w="196"/>
        <w:gridCol w:w="661"/>
        <w:gridCol w:w="109"/>
        <w:gridCol w:w="284"/>
        <w:gridCol w:w="287"/>
        <w:gridCol w:w="427"/>
      </w:tblGrid>
      <w:tr>
        <w:trPr/>
        <w:tc>
          <w:tcPr>
            <w:tcW w:w="100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(Dollars in thousands)</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313,422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63,306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640,689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150,845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i/>
                <w:color w:val="000000"/>
                <w:sz w:val="18"/>
              </w:rPr>
              <w:t>(exclusive of depreciation and amortization shown separately below)</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severance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contingencies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37,900 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291,624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62,432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587,777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476,029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111,748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52,912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w:t>
            </w:r>
            <w:r>
              <w:rPr>
                <w:color w:val="000000"/>
              </w:rPr>
              <w:t>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37,064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1,019</w:t>
            </w:r>
            <w:r>
              <w:rPr>
                <w:color w:val="000000"/>
              </w:rPr>
              <w:t>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and comprehensive income (loss)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8,862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w:t>
            </w:r>
            <w:r>
              <w:rPr>
                <w:color w:val="000000"/>
              </w:rPr>
              <w:t> </w:t>
            </w:r>
          </w:p>
        </w:tc>
        <w:tc>
          <w:tcPr>
            <w:tcW w:w="3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26,840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(3,513)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30,353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864</w:t>
            </w:r>
            <w:r>
              <w:rPr>
                <w:color w:val="000000"/>
              </w:rPr>
              <w:t> </w:t>
            </w:r>
          </w:p>
        </w:tc>
        <w:tc>
          <w:tcPr>
            <w:tcW w:w="4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in the second quarter of 2026 compared to the second quarter of 2025 primarily due to increases in our Insurance and Home segments. Revenue increased in the first six months of 2026 compared to the first six months of 2025 due to increases in our Insurance, Home and Consumer segments.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our Insurance segment increased $62.1 million, or 42%, to $209.3 million in the second quarter of 2026 from $147.2 million in the second quarter of 2025. The increase in revenue was due to a 22% increase in volume, representing $38.3 million of the increase, and a 16% increase in revenue earned per consumer, representing $23.8 million of the increase. Revenue from our Insurance segment increased $137.3 million, or 47%, to $431.1 million in the first six months of 2026 from $293.8 million in the first six months of 2025. The increase in revenue was due to a 25% increase in volume, representing $87.5 million of the increase, and a 17% increase in revenue earned per consumer, representing $49.8 million of the increase.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measure volume for our insurance product as the number of consumer request forms and, in certain cases re-engagement with a consumer, the number of such subsequent consumer engagements through our platform.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Consumer segment includes the following products: credit cards, personal loans, small business loans, auto loans, deposit accounts, and other credit products. Many of our Consumer segment products are not individually significant to revenue. Revenue from our Consumer segment decreased $2.3 million, or 4%, in the second quarter of 2026 from the second quarter of 2025 primarily due to a decrease in credit cards. Revenue from our Consumer segment increased $8.0 million, or 7%, in the first six months of 2026 from the first six months of 2025 primarily due to increases in our small business loans, partially offset by a decrease in credit cards.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current periods, no other products in our Consumer segment represented more than 10% of revenue; however, certain other Consumer products experienced notable changes. Revenue from small business increased $9.7 million, or 25%, in the first six months of 2026 compared to the first six months of 2025 due to increases in revenue earned per consumer.</w:t>
      </w:r>
    </w:p>
    <w:p>
      <w:pPr>
        <w:pStyle w:val="TextBody"/>
        <w:bidi w:val="0"/>
        <w:spacing w:lineRule="auto" w:line="288" w:before="180" w:after="283"/>
        <w:jc w:val="both"/>
        <w:rPr/>
      </w:pPr>
      <w:r>
        <w:rPr>
          <w:rFonts w:ascii="Times New Roman;serif" w:hAnsi="Times New Roman;serif"/>
          <w:b w:val="false"/>
          <w:color w:val="000000"/>
          <w:sz w:val="20"/>
          <w:shd w:fill="FFFFFF" w:val="clear"/>
        </w:rPr>
        <w:t>Our Home se</w:t>
      </w:r>
      <w:r>
        <w:rPr>
          <w:rFonts w:ascii="Times New Roman;serif" w:hAnsi="Times New Roman;serif"/>
          <w:b w:val="false"/>
          <w:color w:val="000000"/>
          <w:sz w:val="20"/>
        </w:rPr>
        <w:t>gment includes the following products: purchase mortgage, refinance mortgage, and home equity loans and lines of credit. Revenue from our Home segment increased $3.5 million, or 9%, in the second quarter of 2026 from the second quarter of 2025 and increased $5.5 million, or 7%, in the first six months of 2026 from the first six months of 2025 primarily due to increases in revenue from our home equity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 from our home equity loans product increased $4.6 million, or 15%, to $34.9 million in the second quarter of 2026 from $30.3 million in the second quarter of 2025. The increase in revenue was due to an 11% increase in volume, representing $3.4 million of the increase, and a 4% increase in revenue earned per consumer, representing $1.2 million of the increase. As more homeowners choose to stay in their homes and home equity levels remain near record highs, consumers are increasingly utilizing the value in their homes to fund renovations and other large ticket expenses, which we expect will continue in the current interest rate environment.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 from our home equity loans product increased $8.8 million, or 16%, to $64.9 million in the first six months of 2026 from $56.1 million in the first six months of 2025. The increase in revenue was due to a 14% increase in volume, representing $7.9 million of the increase, and a 2% increase in revenue earned per consumer, representing a $0.9 million increase. We measure volume for our home equity loans and lines of credit products as the number of consumers completing request forms.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Cost of revenue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Cost of revenue increased $1.2 million in the second quarter of 2026 from the second quarter of 2025 primarily due to an increase in compensation and benefits of $1.0 million. Cost of revenue increased $3.0 million in the first six months of 2026 from the first six months of 2025 primarily due to an increase in compensation and benefits of $2.8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as a percentage of revenue was 4% in the second quarter and first six months of 2026 which is consistent with the second quarter and the first six months of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Selling and marketing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 increased in the second quarter of 2026 compared to the second quarter 2025 by $59.7 million, and increased $125.5 million in the first six months of 2026 compared to the first six months of 2025 primarily due to the changes in advertising and promotional expense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Advertising and promotional expense is the largest component of selling and marketing expense, and is comprised of the following:</w:t>
      </w:r>
    </w:p>
    <w:tbl>
      <w:tblPr>
        <w:tblW w:w="10205" w:type="dxa"/>
        <w:jc w:val="left"/>
        <w:tblInd w:w="0" w:type="dxa"/>
        <w:tblLayout w:type="fixed"/>
        <w:tblCellMar>
          <w:top w:w="28" w:type="dxa"/>
          <w:left w:w="28" w:type="dxa"/>
          <w:bottom w:w="28" w:type="dxa"/>
          <w:right w:w="28" w:type="dxa"/>
        </w:tblCellMar>
      </w:tblPr>
      <w:tblGrid>
        <w:gridCol w:w="511"/>
        <w:gridCol w:w="448"/>
        <w:gridCol w:w="453"/>
        <w:gridCol w:w="211"/>
        <w:gridCol w:w="841"/>
        <w:gridCol w:w="109"/>
        <w:gridCol w:w="211"/>
        <w:gridCol w:w="841"/>
        <w:gridCol w:w="109"/>
        <w:gridCol w:w="211"/>
        <w:gridCol w:w="736"/>
        <w:gridCol w:w="109"/>
        <w:gridCol w:w="194"/>
        <w:gridCol w:w="197"/>
        <w:gridCol w:w="385"/>
        <w:gridCol w:w="109"/>
        <w:gridCol w:w="109"/>
        <w:gridCol w:w="109"/>
        <w:gridCol w:w="211"/>
        <w:gridCol w:w="841"/>
        <w:gridCol w:w="109"/>
        <w:gridCol w:w="211"/>
        <w:gridCol w:w="841"/>
        <w:gridCol w:w="109"/>
        <w:gridCol w:w="211"/>
        <w:gridCol w:w="841"/>
        <w:gridCol w:w="109"/>
        <w:gridCol w:w="194"/>
        <w:gridCol w:w="197"/>
        <w:gridCol w:w="438"/>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(Dollars in thousands)</w:t>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Online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Broadcast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advertising expense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226,083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166,468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59,615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453,803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328,469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125,334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4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283"/>
        <w:jc w:val="both"/>
        <w:rPr/>
      </w:pPr>
      <w:r>
        <w:rPr>
          <w:rFonts w:ascii="Times New Roman;serif" w:hAnsi="Times New Roman;serif"/>
          <w:b w:val="false"/>
          <w:color w:val="000000"/>
          <w:sz w:val="20"/>
        </w:rPr>
        <w:t xml:space="preserve">In the periods presented, advertising and promotional expenses are equivalent to the non-GAAP measure variable marketing expense.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 xml:space="preserve">Variable Marketing Expense and Variable Marketing Margin below for additional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adjusted our advertising expenditures in the second quarter and first six months of 2026 compared to the second quarter and first six months of 2025 in response to changes in Network Partner demand on our marketplace. We will continue to adjust selling and marketing expenditures dynamically in response to anticipated revenue opportunities.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 and administrative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was generally consistent in the second quarter of 2026 and the second quarter of 2025. General and administrative expense decreased $2.0 million in the first six months of 2026 from the first six months of 2025 primarily due to a decrease in compensation and benefits of $3.3 million, partially offset by an increase in professional fees of $0.6 million and technology costs of $0.6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as a percentage of revenue decreased to 8% in the second quarter of 2026 compared to 10% in the second quarter of 2025, and decreased to 8% in the first six months of 2026 compared to 11% in the first six months of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Product development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 development expense decreased $1.4 million in the second quarter of 2026 compared to the second quarter of 2025 and decreased $1.9 million in the first six months of 2026 from the first six months of 2025. We continued to invest in internal development of new and enhanced features, functionality and business opportunities that we believe will enable us to better and more fully serve consumers and Network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Litigation Settlements and Contingencies</w:t>
      </w:r>
    </w:p>
    <w:p>
      <w:pPr>
        <w:pStyle w:val="TextBody"/>
        <w:bidi w:val="0"/>
        <w:spacing w:lineRule="auto" w:line="288" w:before="180" w:after="283"/>
        <w:jc w:val="both"/>
        <w:rPr/>
      </w:pPr>
      <w:r>
        <w:rPr>
          <w:rFonts w:ascii="Times New Roman;serif" w:hAnsi="Times New Roman;serif"/>
          <w:b w:val="false"/>
          <w:color w:val="000000"/>
          <w:sz w:val="20"/>
        </w:rPr>
        <w:t xml:space="preserve">In the first quarter of 2025, we incurred $15.2 million of expenses for litigation contingencies due to the Mantha litigation.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11—Contingencies in the notes to the consolidated financial statements for additional information on litigation matters.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20" w:after="283"/>
        <w:jc w:val="both"/>
        <w:rPr/>
      </w:pPr>
      <w:r>
        <w:rPr>
          <w:rFonts w:ascii="Times New Roman;serif" w:hAnsi="Times New Roman;serif"/>
          <w:b w:val="false"/>
          <w:color w:val="000000"/>
          <w:sz w:val="20"/>
        </w:rPr>
        <w:t xml:space="preserve">In the first quarter of 2025, we repurchased approximately $20.0 million in principal amount of our 0.50% Convertible Senior Notes due July 15, 2025 (the "2025 Notes") for $19.7 million plus accrued and unpaid interest. As a result of the repurchase, we recognized a gain on the extinguishment of $0.3 million in the first six months of 2025, which is included in interest expense, net in the consolidated statement of operations and comprehensive income.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10—Debt for additional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second quarter and first six months of 2026, the effective tax rate varied from the federal statutory rate of 21% primarily due to the effect of state taxes and various unfavorable permanent tax adjustments.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second quarter and first six months of 2025, the effective tax rate varied from the federal statutory rate of 21% primarily due the change in the valuation allowance, net of the current period change in tax effected net indefinite-lived intangibles and current tax expense on taxable income.</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Segment Profit</w:t>
      </w:r>
    </w:p>
    <w:tbl>
      <w:tblPr>
        <w:tblW w:w="10205" w:type="dxa"/>
        <w:jc w:val="left"/>
        <w:tblInd w:w="0" w:type="dxa"/>
        <w:tblLayout w:type="fixed"/>
        <w:tblCellMar>
          <w:top w:w="28" w:type="dxa"/>
          <w:left w:w="28" w:type="dxa"/>
          <w:bottom w:w="28" w:type="dxa"/>
          <w:right w:w="28" w:type="dxa"/>
        </w:tblCellMar>
      </w:tblPr>
      <w:tblGrid>
        <w:gridCol w:w="457"/>
        <w:gridCol w:w="366"/>
        <w:gridCol w:w="373"/>
        <w:gridCol w:w="221"/>
        <w:gridCol w:w="774"/>
        <w:gridCol w:w="114"/>
        <w:gridCol w:w="221"/>
        <w:gridCol w:w="774"/>
        <w:gridCol w:w="114"/>
        <w:gridCol w:w="221"/>
        <w:gridCol w:w="669"/>
        <w:gridCol w:w="114"/>
        <w:gridCol w:w="254"/>
        <w:gridCol w:w="257"/>
        <w:gridCol w:w="404"/>
        <w:gridCol w:w="114"/>
        <w:gridCol w:w="114"/>
        <w:gridCol w:w="114"/>
        <w:gridCol w:w="221"/>
        <w:gridCol w:w="884"/>
        <w:gridCol w:w="114"/>
        <w:gridCol w:w="221"/>
        <w:gridCol w:w="884"/>
        <w:gridCol w:w="114"/>
        <w:gridCol w:w="221"/>
        <w:gridCol w:w="774"/>
        <w:gridCol w:w="114"/>
        <w:gridCol w:w="254"/>
        <w:gridCol w:w="257"/>
        <w:gridCol w:w="472"/>
      </w:tblGrid>
      <w:tr>
        <w:trPr/>
        <w:tc>
          <w:tcPr>
            <w:tcW w:w="45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(Dollars in thousands)</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margin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26%</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26%</w:t>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margin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46%</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51%</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48%</w:t>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50%</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Insurance</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margin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24%</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27%</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w:t>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27%</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marketing expense </w:t>
            </w:r>
            <w:r>
              <w:rPr>
                <w:rFonts w:ascii="Times New Roman;serif" w:hAnsi="Times New Roman;serif"/>
                <w:b w:val="false"/>
                <w:color w:val="000000"/>
                <w:sz w:val="13"/>
              </w:rPr>
              <w:t>(1)</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profit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88,823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85,110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189,580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164,091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25,489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margin</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28%</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30%</w:t>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33%</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3"/>
              </w:rPr>
              <w:t>(1)</w:t>
            </w:r>
            <w:r>
              <w:rPr>
                <w:rFonts w:ascii="Times New Roman;serif" w:hAnsi="Times New Roman;serif"/>
                <w:b w:val="false"/>
                <w:color w:val="000000"/>
                <w:sz w:val="20"/>
              </w:rPr>
              <w:t>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costs.</w:t>
            </w:r>
          </w:p>
        </w:tc>
      </w:tr>
    </w:tbl>
    <w:p>
      <w:pPr>
        <w:pStyle w:val="TextBody"/>
        <w:bidi w:val="0"/>
        <w:spacing w:lineRule="auto" w:line="288" w:before="180" w:after="283"/>
        <w:jc w:val="both"/>
        <w:rPr/>
      </w:pPr>
      <w:r>
        <w:rPr>
          <w:rFonts w:ascii="Times New Roman;serif" w:hAnsi="Times New Roman;serif"/>
          <w:b w:val="false"/>
          <w:color w:val="000000"/>
          <w:sz w:val="20"/>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13—Segment Information in the notes to the consolidated financial statements for additional information on segments and a reconciliation of segment profit to pre-tax income.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Home</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Home segment revenue increased 9% to $43.9 million in the second quarter of 2026 from the second quarter of 2025 and segment profit decreased 14% to $11.3 million in the second quarter of 2026 from the second quarter of 2025. Segment margin decreased to 26% in the second quarter of 2026 compared to 32% in the second quarter of 2025, primarily due to direct-to-consumer lenders continuing to expand their own marketing budgets to make up for subdued consumer demand for new mortgage products, pressuring media costs and keeping our segment margin towards the low end of the historic range. Mortgage brokers have continued to take origination share from direct-to-consumer lenders nationally, and we have increased our sales effort to bring more brokers onto our marketplace.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Our refinance product within our mortgage business matches consumers in the market looking to refinance their existing mortgages with our network lenders. Our purchase product within our mortgage business matches consumers in the market looking to buy a new home with our network lenders. Our mortgage business is directly impacted by the mortgage market in which we participate and continues to see headwinds from a lack of in-the-money refinance borrowers given the current higher level of mortgage rates, and subdued home sales have pressured the volume of consumers searching for purchase loans. Existing home sales have been around the four million annual level in the United States, which has been steady for the last three years and is similar to the level of transactions recorded during the financial crisis in 2008 and 2009. We expect this environment to continue in 2026.</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Consumer</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Our Consumer segment revenue decreased 4% to $60.3 million in the second quarter of 2026 from the second quarter of 2025, and segment profit decreased 14% to $27.6 million in the second quarter of 2026 from the second quarter of 2025. Segment margin decreased to 46% in the second quarter of 2026 compared to 51% in the second quarter of 2025 primarily due to lower close rates and small loan sizes in our small business product. After the initial reactions to the Middle East hostilities and spiking oil prices, demand from small business owners has been stable and lender approval rates have normalized.</w:t>
      </w:r>
    </w:p>
    <w:p>
      <w:pPr>
        <w:pStyle w:val="TextBody"/>
        <w:bidi w:val="0"/>
        <w:spacing w:lineRule="auto" w:line="288" w:before="180" w:after="120"/>
        <w:jc w:val="both"/>
        <w:rPr/>
      </w:pP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 xml:space="preserve">the section titled "Revenue" above for additional discussion of declines in product revenues within the Consumer segment. </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Insurance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Insurance revenue increased 42% to $209.3 million in the second quarter of 2026 from the second quarter of 2025 and segment profit increased 25% to $50.0 million in the second quarter of 2026 from the second quarter of 2025. Segment margin decreased to 24% in the second quarter of 2026 compared to 27% in the second quarter of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Insurance carriers continue to broadly generate strong underwriting results. Auto rate decreases in numerous states has led to increased competition for market share and an increase in customer volume to our sites. The increased demand has created a competitive market to acquire customers seeking an auto policy, which has led to strong growth in both revenue as well as associated media costs. We expect advertising costs to remain elevated for the remainder of 2026. Our strategy is to capture the maximum level of carrier advertising budgets when we have an opportunity to drive incremental segment profit and take share from competitors. These incremental dollars have pressured overall segment margin while simultaneously contributing to robust segment profit. </w:t>
      </w:r>
    </w:p>
    <w:p>
      <w:pPr>
        <w:pStyle w:val="TextBody"/>
        <w:bidi w:val="0"/>
        <w:spacing w:lineRule="auto" w:line="276" w:before="240" w:after="120"/>
        <w:jc w:val="both"/>
        <w:rPr>
          <w:rFonts w:ascii="Times New Roman;serif" w:hAnsi="Times New Roman;serif"/>
          <w:b/>
          <w:color w:val="000000"/>
          <w:sz w:val="20"/>
        </w:rPr>
      </w:pPr>
      <w:r>
        <w:rPr>
          <w:rFonts w:ascii="Times New Roman;serif" w:hAnsi="Times New Roman;serif"/>
          <w:b/>
          <w:color w:val="000000"/>
          <w:sz w:val="20"/>
        </w:rPr>
        <w:t>Variable Marketing Expense and Variable Marketing Margin</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Variable marketing margin is defined as revenue less variable marketing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shows the calculation of variable marketing margin:</w:t>
      </w:r>
    </w:p>
    <w:tbl>
      <w:tblPr>
        <w:tblW w:w="8114" w:type="dxa"/>
        <w:jc w:val="left"/>
        <w:tblInd w:w="0" w:type="dxa"/>
        <w:tblLayout w:type="fixed"/>
        <w:tblCellMar>
          <w:top w:w="28" w:type="dxa"/>
          <w:left w:w="28" w:type="dxa"/>
          <w:bottom w:w="28" w:type="dxa"/>
          <w:right w:w="28" w:type="dxa"/>
        </w:tblCellMar>
      </w:tblPr>
      <w:tblGrid>
        <w:gridCol w:w="892"/>
        <w:gridCol w:w="787"/>
        <w:gridCol w:w="795"/>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4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margin</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87,339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83,648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186,886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161,375</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selling and marketing expense, the most directly comparable GAAP measure, to variable marketing expense:</w:t>
      </w:r>
    </w:p>
    <w:tbl>
      <w:tblPr>
        <w:tblW w:w="9374" w:type="dxa"/>
        <w:jc w:val="left"/>
        <w:tblInd w:w="0" w:type="dxa"/>
        <w:tblLayout w:type="fixed"/>
        <w:tblCellMar>
          <w:top w:w="28" w:type="dxa"/>
          <w:left w:w="28" w:type="dxa"/>
          <w:bottom w:w="28" w:type="dxa"/>
          <w:right w:w="28" w:type="dxa"/>
        </w:tblCellMar>
      </w:tblPr>
      <w:tblGrid>
        <w:gridCol w:w="1339"/>
        <w:gridCol w:w="1178"/>
        <w:gridCol w:w="118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Non-variable selling and marketing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expense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226,083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166,468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453,803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328,469</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income (loss), the most directly comparable GAAP measure, to variable marketing margin:</w:t>
      </w:r>
    </w:p>
    <w:tbl>
      <w:tblPr>
        <w:tblW w:w="9786" w:type="dxa"/>
        <w:jc w:val="left"/>
        <w:tblInd w:w="0" w:type="dxa"/>
        <w:tblLayout w:type="fixed"/>
        <w:tblCellMar>
          <w:top w:w="28" w:type="dxa"/>
          <w:left w:w="28" w:type="dxa"/>
          <w:bottom w:w="28" w:type="dxa"/>
          <w:right w:w="28" w:type="dxa"/>
        </w:tblCellMar>
      </w:tblPr>
      <w:tblGrid>
        <w:gridCol w:w="1664"/>
        <w:gridCol w:w="1464"/>
        <w:gridCol w:w="1476"/>
        <w:gridCol w:w="285"/>
        <w:gridCol w:w="337"/>
        <w:gridCol w:w="339"/>
        <w:gridCol w:w="147"/>
        <w:gridCol w:w="147"/>
        <w:gridCol w:w="147"/>
        <w:gridCol w:w="285"/>
        <w:gridCol w:w="337"/>
        <w:gridCol w:w="339"/>
        <w:gridCol w:w="109"/>
        <w:gridCol w:w="109"/>
        <w:gridCol w:w="109"/>
        <w:gridCol w:w="249"/>
        <w:gridCol w:w="390"/>
        <w:gridCol w:w="391"/>
        <w:gridCol w:w="129"/>
        <w:gridCol w:w="129"/>
        <w:gridCol w:w="129"/>
        <w:gridCol w:w="249"/>
        <w:gridCol w:w="342"/>
        <w:gridCol w:w="484"/>
      </w:tblGrid>
      <w:tr>
        <w:trPr/>
        <w:tc>
          <w:tcPr>
            <w:tcW w:w="16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9,574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26,840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(3,513)</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variable marketing margin:</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Non-variable selling and marketing expense </w:t>
            </w:r>
            <w:r>
              <w:rPr>
                <w:rFonts w:ascii="Times New Roman;serif" w:hAnsi="Times New Roman;serif"/>
                <w:b w:val="false"/>
                <w:color w:val="000000"/>
                <w:sz w:val="13"/>
              </w:rPr>
              <w:t>(1)</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21,218</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21,035</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55,694</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23,377</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19,486</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r>
      <w:tr>
        <w:trPr/>
        <w:tc>
          <w:tcPr>
            <w:tcW w:w="46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margin</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87,339</w:t>
            </w:r>
          </w:p>
        </w:tc>
        <w:tc>
          <w:tcPr>
            <w:tcW w:w="4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83,648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186,886</w:t>
            </w:r>
          </w:p>
        </w:tc>
        <w:tc>
          <w:tcPr>
            <w:tcW w:w="38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161,375</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
        <w:gridCol w:w="148"/>
        <w:gridCol w:w="109"/>
        <w:gridCol w:w="2862"/>
        <w:gridCol w:w="2862"/>
        <w:gridCol w:w="4056"/>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425" w:type="dxa"/>
            <w:gridSpan w:val="3"/>
            <w:tcBorders/>
            <w:vAlign w:val="center"/>
          </w:tcPr>
          <w:p>
            <w:pPr>
              <w:pStyle w:val="TableContents"/>
              <w:bidi w:val="0"/>
              <w:spacing w:before="0" w:after="283"/>
              <w:jc w:val="left"/>
              <w:rPr>
                <w:sz w:val="4"/>
                <w:szCs w:val="4"/>
              </w:rPr>
            </w:pPr>
            <w:r>
              <w:rPr>
                <w:sz w:val="4"/>
                <w:szCs w:val="4"/>
              </w:rPr>
            </w:r>
          </w:p>
        </w:tc>
        <w:tc>
          <w:tcPr>
            <w:tcW w:w="9780" w:type="dxa"/>
            <w:gridSpan w:val="3"/>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the portion of selling and marketing expense not attributable to variable costs paid for advertising, direct marketing and related expenses. Includes overhead, fixed costs and personnel-related expenses.</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Definition of Adjusted EBITDA</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One-Time Items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Non-Cash Expenses that are Excluded from Adjusted EBITDA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net income (loss), the most directly comparable GAAP measure, to Adjusted EBITDA.</w:t>
      </w:r>
    </w:p>
    <w:tbl>
      <w:tblPr>
        <w:tblW w:w="9195" w:type="dxa"/>
        <w:jc w:val="left"/>
        <w:tblInd w:w="0" w:type="dxa"/>
        <w:tblLayout w:type="fixed"/>
        <w:tblCellMar>
          <w:top w:w="28" w:type="dxa"/>
          <w:left w:w="28" w:type="dxa"/>
          <w:bottom w:w="28" w:type="dxa"/>
          <w:right w:w="28" w:type="dxa"/>
        </w:tblCellMar>
      </w:tblPr>
      <w:tblGrid>
        <w:gridCol w:w="1426"/>
        <w:gridCol w:w="1254"/>
        <w:gridCol w:w="1265"/>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(3,513)</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Adjusted EBITDA:</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impairments and disposal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LendingTree Foundation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35,162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31,793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77,171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56,419</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$110.8 million of cash and cash equivalents, compared to $81.1 million of cash and cash equivalents as of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our cash and cash equivalents, cash flows from operations to be sufficient to fund our operating needs for the next twelve months and beyond. We will continue to monitor the impact of the current economic conditions, including interest rates and inflation on our liquidity and capital resources.</w:t>
      </w:r>
    </w:p>
    <w:p>
      <w:pPr>
        <w:pStyle w:val="TextBody"/>
        <w:bidi w:val="0"/>
        <w:spacing w:lineRule="auto" w:line="288" w:before="120" w:after="283"/>
        <w:jc w:val="both"/>
        <w:rPr/>
      </w:pPr>
      <w:r>
        <w:rPr>
          <w:rFonts w:ascii="Times New Roman;serif" w:hAnsi="Times New Roman;serif"/>
          <w:b w:val="false"/>
          <w:color w:val="000000"/>
          <w:sz w:val="20"/>
        </w:rPr>
        <w:t xml:space="preserve">For additional information,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10—Debt, in the note to the consolidated financial statements included elsewhere in this report.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Equity Distribution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July 2024, we entered into an Equity Distribution Agreement in connection with the establishment of an ATM Equity Program under which we may sell up to an aggregate of $50.0 million of shares of our common stock. No sales have been made under the Equity Distribution Agreement since its inception.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Credit Facilities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August 21, 2025, we entered into a $475.0 million first lien term loan facility ("the 2025 Credit Facility"), consisting of a $75.0 million revolving credit facility (the "2025 Revolving Credit Facility") and a $400.0 million term loan facility (the "2025 Term Loan"), both with maturities of August 21, 2030. Proceeds from the 2025 Facility were used to refinance two previously outstanding term loans and for working capital and general corporate purposes.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July 30, 2026, we had $397.0 million borrowings outstanding under the 2025 Term Loan and we have $75.0 million available for borrowing under the 2025 Revolving Facility.</w:t>
      </w:r>
    </w:p>
    <w:p>
      <w:pPr>
        <w:pStyle w:val="TextBody"/>
        <w:bidi w:val="0"/>
        <w:spacing w:lineRule="auto" w:line="288" w:before="180" w:after="283"/>
        <w:jc w:val="both"/>
        <w:rPr/>
      </w:pP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10—Debt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cash flows are as follows:</w:t>
      </w:r>
    </w:p>
    <w:tbl>
      <w:tblPr>
        <w:tblW w:w="6668" w:type="dxa"/>
        <w:jc w:val="left"/>
        <w:tblInd w:w="0" w:type="dxa"/>
        <w:tblLayout w:type="fixed"/>
        <w:tblCellMar>
          <w:top w:w="28" w:type="dxa"/>
          <w:left w:w="28" w:type="dxa"/>
          <w:bottom w:w="28" w:type="dxa"/>
          <w:right w:w="28" w:type="dxa"/>
        </w:tblCellMar>
      </w:tblPr>
      <w:tblGrid>
        <w:gridCol w:w="1525"/>
        <w:gridCol w:w="1343"/>
        <w:gridCol w:w="1346"/>
        <w:gridCol w:w="211"/>
        <w:gridCol w:w="721"/>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932" w:type="dxa"/>
            <w:gridSpan w:val="2"/>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w:t>
            </w:r>
          </w:p>
        </w:tc>
        <w:tc>
          <w:tcPr>
            <w:tcW w:w="109"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99999"/>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20,952 </w:t>
            </w:r>
          </w:p>
        </w:tc>
        <w:tc>
          <w:tcPr>
            <w:tcW w:w="154"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increased in the first six months of 2026 from the first six months of 2025 primarily due to increases in revenue, partially offset by operating costs.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the first six months of 2026 and 2025 of $5.9 million and $6.2 million, respectively, consisted of capital expenditures primarily related to internally developed software.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in the first six months of 2026 of $5.1 million consisted primarily of $3.1 million in withholding taxes paid upon surrender of shares to satisfy obligations on equity awards, net of proceeds from the exercise of stock options and $2.0 million for scheduled payments on the 2025 Term Loan.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 the first six months of 2025 of $21.0 million consisted primarily of $49.5 million net proceeds from the 2024 Term Loan, partially offset by the repurchase of the 2025 Notes for $19.7 million, term loan repayments of $6.6 million and $2.3 million in withholding taxes paid upon surrender of shares to satisfy obligations on equity awards, net of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New Accounting Pronouncements and Critical Accounting Estimates</w:t>
      </w:r>
    </w:p>
    <w:p>
      <w:pPr>
        <w:pStyle w:val="TextBody"/>
        <w:bidi w:val="0"/>
        <w:spacing w:lineRule="auto" w:line="288" w:before="180" w:after="283"/>
        <w:jc w:val="left"/>
        <w:rPr/>
      </w:pPr>
      <w:r>
        <w:rPr>
          <w:rFonts w:ascii="Times New Roman;serif" w:hAnsi="Times New Roman;serif"/>
          <w:b w:val="false"/>
          <w:color w:val="000000"/>
          <w:sz w:val="20"/>
        </w:rPr>
        <w:t xml:space="preserve">For information regarding new accounting pronouncements and critical accounting estimates,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Note 2</w:t>
      </w:r>
      <w:r>
        <w:rPr>
          <w:color w:val="000000"/>
        </w:rPr>
        <w:t>—</w:t>
      </w:r>
      <w:r>
        <w:rPr>
          <w:rFonts w:ascii="Times New Roman;serif" w:hAnsi="Times New Roman;serif"/>
          <w:b w:val="false"/>
          <w:color w:val="000000"/>
          <w:sz w:val="20"/>
        </w:rPr>
        <w:t xml:space="preserve">Significant Accounting Policies, in Part I, Item 1 </w:t>
      </w:r>
      <w:r>
        <w:rPr>
          <w:rFonts w:ascii="Times New Roman;serif" w:hAnsi="Times New Roman;serif"/>
          <w:b w:val="false"/>
          <w:i/>
          <w:color w:val="000000"/>
          <w:sz w:val="20"/>
        </w:rPr>
        <w:t>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3.  </w:t>
      </w:r>
      <w:r>
        <w:rPr>
          <w:rFonts w:ascii="Times New Roman;serif" w:hAnsi="Times New Roman;serif"/>
          <w:b/>
          <w:i/>
          <w:color w:val="000000"/>
          <w:sz w:val="20"/>
        </w:rPr>
        <w:t xml:space="preserve">Quantitative and Qualitative Disclosures about Market Risk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as a result of changes to interest rates.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our 2025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$4.0 million annual effect on the interest paid on borrowings under the 2025 Credit Facility. As of July 30, 2026, the Company had $397.0 million outstanding on its 2025 Term Loan, and there were no outstanding borrowings under its 2025 Revolving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Fluctuations in interest rates affect consumer demand for new mortgages and the level of refinancing activity which, in turn, affects lender demand for mortgage leads.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both"/>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283"/>
        <w:jc w:val="both"/>
        <w:rPr/>
      </w:pPr>
      <w:r>
        <w:rPr>
          <w:rFonts w:ascii="Times New Roman;serif" w:hAnsi="Times New Roman;serif"/>
          <w:b w:val="false"/>
          <w:color w:val="000000"/>
          <w:sz w:val="20"/>
        </w:rPr>
        <w:t xml:space="preserve">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w:t>
      </w:r>
      <w:r>
        <w:rPr>
          <w:rFonts w:ascii="Times New Roman;serif" w:hAnsi="Times New Roman;serif"/>
          <w:b w:val="false"/>
          <w:color w:val="000000"/>
          <w:sz w:val="20"/>
          <w:shd w:fill="FFFFFF" w:val="clear"/>
        </w:rPr>
        <w:t>The term “disclosure controls and procedures,” as defined in Rules 13a-15(e) and 15d-15(e) under the Exchange 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w:t>
      </w:r>
      <w:r>
        <w:rPr>
          <w:color w:val="000000"/>
        </w:rPr>
        <w:t xml:space="preserve"> </w:t>
      </w:r>
      <w:r>
        <w:rPr>
          <w:rFonts w:ascii="Times New Roman;serif" w:hAnsi="Times New Roman;serif"/>
          <w:b w:val="false"/>
          <w:color w:val="000000"/>
          <w:sz w:val="20"/>
        </w:rPr>
        <w:t xml:space="preserve">Based upon that evaluation, our Chief Executive Officer and Chief Financial Officer concluded that our disclosure controls and procedures are effective, as of June 30, 2026,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quarter ended June 30, 2026 that has materially affected, or is reasonably likely to materially affect, our internal controls over financial reporting.</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180" w:after="283"/>
        <w:jc w:val="both"/>
        <w:rPr/>
      </w:pPr>
      <w:r>
        <w:rPr>
          <w:rFonts w:ascii="Times New Roman;serif" w:hAnsi="Times New Roman;serif"/>
          <w:b w:val="false"/>
          <w:color w:val="000000"/>
          <w:sz w:val="20"/>
        </w:rPr>
        <w:t xml:space="preserve">In the ordinary course of business, we are party to litigation involving property, contract, intellectual property, data privacy and security, and a variety of other claims. The amounts that may be incurred in such matters may be subject to insurance coverage. We have provided information about certain legal proceedings in which we are involved in Part I, Item 3. </w:t>
      </w:r>
      <w:r>
        <w:rPr>
          <w:rFonts w:ascii="Times New Roman;serif" w:hAnsi="Times New Roman;serif"/>
          <w:b w:val="false"/>
          <w:i/>
          <w:color w:val="000000"/>
          <w:sz w:val="20"/>
        </w:rPr>
        <w:t xml:space="preserve">Legal Proceedings </w:t>
      </w:r>
      <w:r>
        <w:rPr>
          <w:rFonts w:ascii="Times New Roman;serif" w:hAnsi="Times New Roman;serif"/>
          <w:b w:val="false"/>
          <w:color w:val="000000"/>
          <w:sz w:val="20"/>
        </w:rPr>
        <w:t>of our 2025 Annual Report and updated that information in Note 11—Contingencies to the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80" w:after="283"/>
        <w:jc w:val="both"/>
        <w:rPr/>
      </w:pPr>
      <w:r>
        <w:rPr>
          <w:rFonts w:ascii="Times New Roman;serif" w:hAnsi="Times New Roman;serif"/>
          <w:b w:val="false"/>
          <w:color w:val="000000"/>
          <w:sz w:val="20"/>
        </w:rPr>
        <w:t>Risk factors that affect our business and financial results are discussed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in our 2025 Annual Report. There have been no material changes to the risk factors included in our 2025 Annual Report.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You should carefully consider the risks described in our 2025 Annual Report, which could materially affect our business, financial condition or</w:t>
      </w:r>
      <w:r>
        <w:rPr>
          <w:color w:val="000000"/>
          <w:shd w:fill="FFFFFF" w:val="clear"/>
        </w:rPr>
        <w:t xml:space="preserve"> </w:t>
      </w:r>
      <w:r>
        <w:rPr>
          <w:rFonts w:ascii="Times New Roman;serif" w:hAnsi="Times New Roman;serif"/>
          <w:b w:val="false"/>
          <w:color w:val="000000"/>
          <w:sz w:val="20"/>
          <w:shd w:fill="FFFFFF" w:val="clear"/>
        </w:rPr>
        <w:t xml:space="preserve">future results. The risks described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 stock repurchase program authorized for the repurchase of LendingTree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Furthermore, our 2025 Credit Facility limits stock repurchases. During the quarter ended June 30, 2026, no shares of common stock were repurchased under the stock repurchase program. As of July 30, 2026, approximately $96.7 million remains authorized for share repurchase.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LendingTree 2023 Stock Plan and LendingTree 2023 Inducement Grant Plan allows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2026, 14,617 shares were withheld related to these obligations under the LendingTree 2023 Stock Plan. The withholding of those shares does not affect the dollar amount or number of shares that may be purchased under the stock repurchase program described above.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purchases of equity securities during the quarter ended June 30, 2026.</w:t>
      </w:r>
    </w:p>
    <w:tbl>
      <w:tblPr>
        <w:tblW w:w="9290" w:type="dxa"/>
        <w:jc w:val="left"/>
        <w:tblInd w:w="0" w:type="dxa"/>
        <w:tblLayout w:type="fixed"/>
        <w:tblCellMar>
          <w:top w:w="28" w:type="dxa"/>
          <w:left w:w="28" w:type="dxa"/>
          <w:bottom w:w="28" w:type="dxa"/>
          <w:right w:w="28" w:type="dxa"/>
        </w:tblCellMar>
      </w:tblPr>
      <w:tblGrid>
        <w:gridCol w:w="677"/>
        <w:gridCol w:w="596"/>
        <w:gridCol w:w="602"/>
        <w:gridCol w:w="109"/>
        <w:gridCol w:w="109"/>
        <w:gridCol w:w="109"/>
        <w:gridCol w:w="514"/>
        <w:gridCol w:w="514"/>
        <w:gridCol w:w="516"/>
        <w:gridCol w:w="109"/>
        <w:gridCol w:w="109"/>
        <w:gridCol w:w="109"/>
        <w:gridCol w:w="263"/>
        <w:gridCol w:w="786"/>
        <w:gridCol w:w="137"/>
        <w:gridCol w:w="109"/>
        <w:gridCol w:w="109"/>
        <w:gridCol w:w="109"/>
        <w:gridCol w:w="525"/>
        <w:gridCol w:w="525"/>
        <w:gridCol w:w="526"/>
        <w:gridCol w:w="109"/>
        <w:gridCol w:w="109"/>
        <w:gridCol w:w="109"/>
        <w:gridCol w:w="345"/>
        <w:gridCol w:w="1203"/>
        <w:gridCol w:w="253"/>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pPr>
            <w:r>
              <w:rPr>
                <w:rFonts w:ascii="Times New Roman;serif" w:hAnsi="Times New Roman;serif"/>
                <w:b/>
                <w:color w:val="000000"/>
                <w:sz w:val="16"/>
              </w:rPr>
              <w:t xml:space="preserve">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 or</w:t>
            </w:r>
          </w:p>
          <w:p>
            <w:pPr>
              <w:pStyle w:val="TableContents"/>
              <w:bidi w:val="0"/>
              <w:spacing w:lineRule="auto" w:line="240" w:before="0" w:after="0"/>
              <w:jc w:val="center"/>
              <w:rPr/>
            </w:pPr>
            <w:r>
              <w:rPr>
                <w:rFonts w:ascii="Times New Roman;serif" w:hAnsi="Times New Roman;serif"/>
                <w:b/>
                <w:color w:val="000000"/>
                <w:sz w:val="16"/>
              </w:rPr>
              <w:t xml:space="preserve">Programs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w:t>
              <w:br/>
              <w:t>Dollar Value of Shares</w:t>
              <w:br/>
              <w:t>that May Yet Be</w:t>
              <w:br/>
              <w:t>Purchased Under the</w:t>
              <w:br/>
              <w:t>Plans or Programs</w:t>
            </w:r>
          </w:p>
        </w:tc>
      </w:tr>
      <w:tr>
        <w:trPr/>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4/1/2026 - 4/30/2026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5/1/2026 - 5/31/2026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6/1/2026 - 6/30/2026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14,617</w:t>
            </w:r>
            <w:r>
              <w:rPr>
                <w:color w:val="000000"/>
              </w:rPr>
              <w:t> </w:t>
            </w:r>
          </w:p>
        </w:tc>
        <w:tc>
          <w:tcPr>
            <w:tcW w:w="5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36.96</w:t>
            </w:r>
            <w:r>
              <w:rPr>
                <w:color w:val="000000"/>
              </w:rPr>
              <w:t> </w:t>
            </w:r>
          </w:p>
        </w:tc>
        <w:tc>
          <w:tcPr>
            <w:tcW w:w="1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96,655</w:t>
            </w:r>
            <w:r>
              <w:rPr>
                <w:color w:val="000000"/>
              </w:rPr>
              <w:t> </w:t>
            </w:r>
          </w:p>
        </w:tc>
        <w:tc>
          <w:tcPr>
            <w:tcW w:w="2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(1)During April 2026, May 2026 and June 2026, 150 shares, 576 shares and 13,891 shares, respectively (totaling 14,617 shares), were purchased to satisfy federal and state withholding obligations of our employees upon the settlement of restricted stock units and the exercise of stock options, all in accordance with our 2023 Stock Plan, as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(2)See the narrative disclosure above the table for further description of our publicly announced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Further, during the fiscal quarter ended June 30, 2026, the Company did not adopt or terminate a Rule 10b5-1 trading arrangement.</w:t>
      </w:r>
    </w:p>
    <w:p>
      <w:pPr>
        <w:pStyle w:val="TextBody"/>
        <w:bidi w:val="0"/>
        <w:spacing w:before="18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6"/>
        <w:gridCol w:w="259"/>
        <w:gridCol w:w="218"/>
        <w:gridCol w:w="109"/>
        <w:gridCol w:w="109"/>
        <w:gridCol w:w="109"/>
        <w:gridCol w:w="2038"/>
        <w:gridCol w:w="1923"/>
        <w:gridCol w:w="1942"/>
        <w:gridCol w:w="109"/>
        <w:gridCol w:w="109"/>
        <w:gridCol w:w="109"/>
        <w:gridCol w:w="838"/>
        <w:gridCol w:w="838"/>
        <w:gridCol w:w="1199"/>
      </w:tblGrid>
      <w:tr>
        <w:trPr/>
        <w:tc>
          <w:tcPr>
            <w:tcW w:w="2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r>
      <w:tr>
        <w:trPr/>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Amended and Restated Certificate of Incorporation of LendingTree,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Registrant's Current Report on Form 8-K filed August 25, 2008</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80"/>
                  <w:sz w:val="20"/>
                  <w:u w:val="single"/>
                </w:rPr>
                <w:t>F</w:t>
              </w:r>
            </w:hyperlink>
            <w:hyperlink r:id="rId6">
              <w:r>
                <w:rPr>
                  <w:rStyle w:val="InternetLink"/>
                  <w:rFonts w:ascii="Times New Roman;serif" w:hAnsi="Times New Roman;serif"/>
                  <w:b w:val="false"/>
                  <w:color w:val="000080"/>
                  <w:sz w:val="20"/>
                  <w:u w:val="single"/>
                </w:rPr>
                <w:t>ifth</w:t>
              </w:r>
            </w:hyperlink>
            <w:hyperlink r:id="rId7">
              <w:r>
                <w:rPr>
                  <w:rStyle w:val="InternetLink"/>
                  <w:rFonts w:ascii="Times New Roman;serif" w:hAnsi="Times New Roman;serif"/>
                  <w:b w:val="false"/>
                  <w:color w:val="000080"/>
                  <w:sz w:val="20"/>
                  <w:u w:val="single"/>
                </w:rPr>
                <w:t xml:space="preserve"> Amended and Restated By-laws of LendingTree,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Registrant's Current Report on Form 8-K filed November 21, 2025</w:t>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6630x10qexx311.htm">
              <w:r>
                <w:rPr>
                  <w:rStyle w:val="InternetLink"/>
                  <w:rFonts w:ascii="Times New Roman;serif" w:hAnsi="Times New Roman;serif"/>
                  <w:b w:val="false"/>
                  <w:color w:val="0000FF"/>
                  <w:sz w:val="20"/>
                  <w:u w:val="single"/>
                </w:rPr>
                <w:t>Certification of the Chief Executive Officer pursuant to Rule 13a-14(a) or Rule 15d-14(a) of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6630x10qexx312.htm">
              <w:r>
                <w:rPr>
                  <w:rStyle w:val="InternetLink"/>
                  <w:rFonts w:ascii="Times New Roman;serif" w:hAnsi="Times New Roman;serif"/>
                  <w:b w:val="false"/>
                  <w:color w:val="0000FF"/>
                  <w:sz w:val="20"/>
                  <w:u w:val="single"/>
                </w:rPr>
                <w:t>Certification of the Chief Financial Officer pursuant to Rule 13a-14(a) or Rule 15d-14(a) of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6630x10qex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6630x10qexx322.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Instance Document </w:t>
            </w:r>
            <w:r>
              <w:rPr>
                <w:color w:val="000000"/>
              </w:rPr>
              <w:t xml:space="preserve">— </w:t>
            </w: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________________________________________________________________________________________________________________________________</w: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Filed herewith.</w: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Furnished herewith. 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Furnished herewith.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3fc995a2b51463cbb5e79f44da9e5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p>
      <w:pPr>
        <w:pStyle w:val="TextBody"/>
        <w:bidi w:val="0"/>
        <w:spacing w:lineRule="auto" w:line="288" w:before="0" w:after="0"/>
        <w:jc w:val="left"/>
        <w:rPr>
          <w:color w:val="000000"/>
        </w:rPr>
      </w:pPr>
      <w:r>
        <w:rPr>
          <w:color w:val="000000"/>
        </w:rPr>
        <w:t> </w:t>
      </w:r>
    </w:p>
    <w:tbl>
      <w:tblPr>
        <w:tblW w:w="5949" w:type="dxa"/>
        <w:jc w:val="left"/>
        <w:tblInd w:w="0" w:type="dxa"/>
        <w:tblLayout w:type="fixed"/>
        <w:tblCellMar>
          <w:top w:w="28" w:type="dxa"/>
          <w:left w:w="28" w:type="dxa"/>
          <w:bottom w:w="28" w:type="dxa"/>
          <w:right w:w="28" w:type="dxa"/>
        </w:tblCellMar>
      </w:tblPr>
      <w:tblGrid>
        <w:gridCol w:w="124"/>
        <w:gridCol w:w="109"/>
        <w:gridCol w:w="109"/>
        <w:gridCol w:w="304"/>
        <w:gridCol w:w="304"/>
        <w:gridCol w:w="304"/>
        <w:gridCol w:w="1373"/>
        <w:gridCol w:w="1373"/>
        <w:gridCol w:w="1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LENDINGTREE,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JASON BENGEL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Bengel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Scott Peyree, certify that: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LendingTree, Inc.;</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tbl>
      <w:tblPr>
        <w:tblW w:w="4362" w:type="dxa"/>
        <w:jc w:val="center"/>
        <w:tblInd w:w="0" w:type="dxa"/>
        <w:tblLayout w:type="fixed"/>
        <w:tblCellMar>
          <w:top w:w="28" w:type="dxa"/>
          <w:left w:w="28" w:type="dxa"/>
          <w:bottom w:w="28" w:type="dxa"/>
          <w:right w:w="28" w:type="dxa"/>
        </w:tblCellMar>
      </w:tblPr>
      <w:tblGrid>
        <w:gridCol w:w="124"/>
        <w:gridCol w:w="109"/>
        <w:gridCol w:w="109"/>
        <w:gridCol w:w="1177"/>
        <w:gridCol w:w="1177"/>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 SCOTT PEYREE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Peyree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President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Jason Bengel, certify that: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LendingTree, Inc.;</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tbl>
      <w:tblPr>
        <w:tblW w:w="2757" w:type="dxa"/>
        <w:jc w:val="center"/>
        <w:tblInd w:w="0" w:type="dxa"/>
        <w:tblLayout w:type="fixed"/>
        <w:tblCellMar>
          <w:top w:w="28" w:type="dxa"/>
          <w:left w:w="28" w:type="dxa"/>
          <w:bottom w:w="28" w:type="dxa"/>
          <w:right w:w="28" w:type="dxa"/>
        </w:tblCellMar>
      </w:tblPr>
      <w:tblGrid>
        <w:gridCol w:w="124"/>
        <w:gridCol w:w="109"/>
        <w:gridCol w:w="109"/>
        <w:gridCol w:w="705"/>
        <w:gridCol w:w="705"/>
        <w:gridCol w:w="1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 JASON BENGEL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Bengel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60" w:after="6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Scott Peyree, certify, pursuant to 18 U.S.C. Section 1350, as adopted pursuant to Section 906 of the Sarbanes-Oxley Act of 2002, that to my knowledge: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fiscal quarter ended June 30, 2026 of LendingTree, Inc. (the “Report”) which this statement accompanies fully complies with the requirements of Section 13(a) or 15(d) of the Securities Exchange Act of 1934 (15 U.S.C. 78m or 78o(d));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LendingTree, Inc.</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tbl>
      <w:tblPr>
        <w:tblW w:w="4362" w:type="dxa"/>
        <w:jc w:val="left"/>
        <w:tblInd w:w="0" w:type="dxa"/>
        <w:tblLayout w:type="fixed"/>
        <w:tblCellMar>
          <w:top w:w="28" w:type="dxa"/>
          <w:left w:w="28" w:type="dxa"/>
          <w:bottom w:w="28" w:type="dxa"/>
          <w:right w:w="28" w:type="dxa"/>
        </w:tblCellMar>
      </w:tblPr>
      <w:tblGrid>
        <w:gridCol w:w="124"/>
        <w:gridCol w:w="109"/>
        <w:gridCol w:w="109"/>
        <w:gridCol w:w="1177"/>
        <w:gridCol w:w="1177"/>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 SCOTT PEYREE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Peyree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President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60" w:after="6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Jason Bengel, certify, pursuant to 18 U.S.C. Section 1350, as adopted pursuant to Section 906 of the Sarbanes-Oxley Act of 2002, that to my knowledge: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fiscal quarter ended June 30, 2026 of LendingTree, Inc. (the “Report”) which this statement accompanies fully complies with the requirements of Section 13(a) or 15(d) of the Securities Exchange Act of 1934 (15 U.S.C. 78m or 78o(d));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LendingTree, Inc.</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tbl>
      <w:tblPr>
        <w:tblW w:w="2757" w:type="dxa"/>
        <w:jc w:val="center"/>
        <w:tblInd w:w="0" w:type="dxa"/>
        <w:tblLayout w:type="fixed"/>
        <w:tblCellMar>
          <w:top w:w="28" w:type="dxa"/>
          <w:left w:w="28" w:type="dxa"/>
          <w:bottom w:w="28" w:type="dxa"/>
          <w:right w:w="28" w:type="dxa"/>
        </w:tblCellMar>
      </w:tblPr>
      <w:tblGrid>
        <w:gridCol w:w="124"/>
        <w:gridCol w:w="109"/>
        <w:gridCol w:w="109"/>
        <w:gridCol w:w="705"/>
        <w:gridCol w:w="705"/>
        <w:gridCol w:w="1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 JASON BENGEL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Bengel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34621/000110465908054882/a08-22125_1ex3d1.htm" TargetMode="External"/><Relationship Id="rId5" Type="http://schemas.openxmlformats.org/officeDocument/2006/relationships/hyperlink" Target="https://www.sec.gov/Archives/edgar/data/1434621/000168316825008622/lending_ex0301.htm" TargetMode="External"/><Relationship Id="rId6" Type="http://schemas.openxmlformats.org/officeDocument/2006/relationships/hyperlink" Target="https://www.sec.gov/Archives/edgar/data/1434621/000168316825008622/lending_ex0301.htm" TargetMode="External"/><Relationship Id="rId7" Type="http://schemas.openxmlformats.org/officeDocument/2006/relationships/hyperlink" Target="https://www.sec.gov/Archives/edgar/data/1434621/000168316825008622/lending_ex03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16781</Words>
  <Characters>93354</Characters>
  <CharactersWithSpaces>108780</CharactersWithSpaces>
  <Paragraphs>2682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